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9D838" w14:textId="11E6196C" w:rsidR="00273A4C" w:rsidRDefault="00802DEC" w:rsidP="00802DEC">
      <w:pPr>
        <w:pStyle w:val="Heading1"/>
      </w:pPr>
      <w:r>
        <w:t>Cañada GE Pathways</w:t>
      </w:r>
    </w:p>
    <w:p w14:paraId="436A0B0B" w14:textId="7BA43947" w:rsidR="00802DEC" w:rsidRDefault="00802DEC" w:rsidP="00802DEC">
      <w:pPr>
        <w:pStyle w:val="Heading1"/>
      </w:pPr>
      <w:r>
        <w:t>Syllabus Descriptions of Pathways</w:t>
      </w:r>
    </w:p>
    <w:p w14:paraId="663655B2" w14:textId="31164195" w:rsidR="00802DEC" w:rsidRPr="00FE1315" w:rsidRDefault="00802DEC" w:rsidP="00802DEC">
      <w:pPr>
        <w:pStyle w:val="Heading2"/>
        <w:rPr>
          <w:sz w:val="32"/>
          <w:szCs w:val="32"/>
        </w:rPr>
      </w:pPr>
      <w:r w:rsidRPr="00FE1315">
        <w:rPr>
          <w:sz w:val="32"/>
          <w:szCs w:val="32"/>
        </w:rPr>
        <w:t>Social Justice</w:t>
      </w:r>
    </w:p>
    <w:tbl>
      <w:tblPr>
        <w:tblStyle w:val="ListTable2Accent1"/>
        <w:tblW w:w="12600" w:type="dxa"/>
        <w:tblLayout w:type="fixed"/>
        <w:tblLook w:val="04A0" w:firstRow="1" w:lastRow="0" w:firstColumn="1" w:lastColumn="0" w:noHBand="0" w:noVBand="1"/>
      </w:tblPr>
      <w:tblGrid>
        <w:gridCol w:w="1890"/>
        <w:gridCol w:w="1350"/>
        <w:gridCol w:w="9360"/>
      </w:tblGrid>
      <w:tr w:rsidR="00802DEC" w:rsidRPr="00802DEC" w14:paraId="2C6E7DEB" w14:textId="77777777" w:rsidTr="00D07EF9">
        <w:trPr>
          <w:cnfStyle w:val="100000000000" w:firstRow="1" w:lastRow="0" w:firstColumn="0" w:lastColumn="0" w:oddVBand="0" w:evenVBand="0" w:oddHBand="0" w:evenHBand="0" w:firstRowFirstColumn="0" w:firstRowLastColumn="0" w:lastRowFirstColumn="0" w:lastRowLastColumn="0"/>
          <w:trHeight w:val="1725"/>
        </w:trPr>
        <w:tc>
          <w:tcPr>
            <w:cnfStyle w:val="001000000000" w:firstRow="0" w:lastRow="0" w:firstColumn="1" w:lastColumn="0" w:oddVBand="0" w:evenVBand="0" w:oddHBand="0" w:evenHBand="0" w:firstRowFirstColumn="0" w:firstRowLastColumn="0" w:lastRowFirstColumn="0" w:lastRowLastColumn="0"/>
            <w:tcW w:w="1890" w:type="dxa"/>
            <w:hideMark/>
          </w:tcPr>
          <w:p w14:paraId="7AC1C224"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ART 103 (History of Art from the Baroque Period to Post-Impressionism)</w:t>
            </w:r>
          </w:p>
        </w:tc>
        <w:tc>
          <w:tcPr>
            <w:tcW w:w="1350" w:type="dxa"/>
            <w:hideMark/>
          </w:tcPr>
          <w:p w14:paraId="7641E92B" w14:textId="77777777" w:rsidR="00802DEC" w:rsidRPr="00802DEC" w:rsidRDefault="00802DEC" w:rsidP="00D07EF9">
            <w:pPr>
              <w:spacing w:before="40" w:after="40"/>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szCs w:val="22"/>
              </w:rPr>
            </w:pPr>
            <w:r w:rsidRPr="00802DEC">
              <w:rPr>
                <w:rFonts w:eastAsia="Times New Roman" w:cs="Arial"/>
                <w:b w:val="0"/>
                <w:color w:val="000000"/>
                <w:szCs w:val="22"/>
              </w:rPr>
              <w:t>Denise Erickson</w:t>
            </w:r>
          </w:p>
        </w:tc>
        <w:tc>
          <w:tcPr>
            <w:tcW w:w="9360" w:type="dxa"/>
            <w:hideMark/>
          </w:tcPr>
          <w:p w14:paraId="599B0DD5" w14:textId="1BF902DB" w:rsidR="00802DEC" w:rsidRPr="00802DEC" w:rsidRDefault="00646796" w:rsidP="00D07EF9">
            <w:pPr>
              <w:spacing w:before="40" w:after="40"/>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szCs w:val="22"/>
              </w:rPr>
            </w:pPr>
            <w:r>
              <w:rPr>
                <w:rFonts w:eastAsia="Times New Roman" w:cs="Arial"/>
                <w:b w:val="0"/>
                <w:color w:val="000000"/>
                <w:szCs w:val="22"/>
              </w:rPr>
              <w:t>Themes addressing</w:t>
            </w:r>
            <w:r w:rsidR="00802DEC" w:rsidRPr="00802DEC">
              <w:rPr>
                <w:rFonts w:eastAsia="Times New Roman" w:cs="Arial"/>
                <w:b w:val="0"/>
                <w:color w:val="000000"/>
                <w:szCs w:val="22"/>
              </w:rPr>
              <w:t xml:space="preserve"> the use</w:t>
            </w:r>
            <w:r w:rsidR="007044E1">
              <w:rPr>
                <w:rFonts w:eastAsia="Times New Roman" w:cs="Arial"/>
                <w:b w:val="0"/>
                <w:color w:val="000000"/>
                <w:szCs w:val="22"/>
              </w:rPr>
              <w:t>s</w:t>
            </w:r>
            <w:r w:rsidR="00802DEC" w:rsidRPr="00802DEC">
              <w:rPr>
                <w:rFonts w:eastAsia="Times New Roman" w:cs="Arial"/>
                <w:b w:val="0"/>
                <w:color w:val="000000"/>
                <w:szCs w:val="22"/>
              </w:rPr>
              <w:t xml:space="preserve"> of art for the purpose of hig</w:t>
            </w:r>
            <w:r w:rsidR="005334E3">
              <w:rPr>
                <w:rFonts w:eastAsia="Times New Roman" w:cs="Arial"/>
                <w:b w:val="0"/>
                <w:color w:val="000000"/>
                <w:szCs w:val="22"/>
              </w:rPr>
              <w:t>hlighting Social Justice</w:t>
            </w:r>
            <w:r w:rsidR="00FE1315">
              <w:rPr>
                <w:rFonts w:eastAsia="Times New Roman" w:cs="Arial"/>
                <w:b w:val="0"/>
                <w:color w:val="000000"/>
                <w:szCs w:val="22"/>
              </w:rPr>
              <w:t xml:space="preserve"> include</w:t>
            </w:r>
            <w:r w:rsidR="00802DEC" w:rsidRPr="00802DEC">
              <w:rPr>
                <w:rFonts w:eastAsia="Times New Roman" w:cs="Arial"/>
                <w:b w:val="0"/>
                <w:color w:val="000000"/>
                <w:szCs w:val="22"/>
              </w:rPr>
              <w:t xml:space="preserve"> a discussion of the art o</w:t>
            </w:r>
            <w:r w:rsidR="007044E1">
              <w:rPr>
                <w:rFonts w:eastAsia="Times New Roman" w:cs="Arial"/>
                <w:b w:val="0"/>
                <w:color w:val="000000"/>
                <w:szCs w:val="22"/>
              </w:rPr>
              <w:t>f the French Revolution, and</w:t>
            </w:r>
            <w:r w:rsidR="00802DEC" w:rsidRPr="00802DEC">
              <w:rPr>
                <w:rFonts w:eastAsia="Times New Roman" w:cs="Arial"/>
                <w:b w:val="0"/>
                <w:color w:val="000000"/>
                <w:szCs w:val="22"/>
              </w:rPr>
              <w:t xml:space="preserve"> revolutionary movements throughout Europe in the 18</w:t>
            </w:r>
            <w:r w:rsidR="00FE1315">
              <w:rPr>
                <w:rFonts w:eastAsia="Times New Roman" w:cs="Arial"/>
                <w:b w:val="0"/>
                <w:color w:val="000000"/>
                <w:szCs w:val="22"/>
              </w:rPr>
              <w:t>th and 19th centuries. Focus is on</w:t>
            </w:r>
            <w:r w:rsidR="00802DEC" w:rsidRPr="00802DEC">
              <w:rPr>
                <w:rFonts w:eastAsia="Times New Roman" w:cs="Arial"/>
                <w:b w:val="0"/>
                <w:color w:val="000000"/>
                <w:szCs w:val="22"/>
              </w:rPr>
              <w:t xml:space="preserve"> the </w:t>
            </w:r>
            <w:r w:rsidR="005334E3">
              <w:rPr>
                <w:rFonts w:eastAsia="Times New Roman" w:cs="Arial"/>
                <w:b w:val="0"/>
                <w:color w:val="000000"/>
                <w:szCs w:val="22"/>
              </w:rPr>
              <w:t xml:space="preserve">outspoken </w:t>
            </w:r>
            <w:r w:rsidR="00802DEC" w:rsidRPr="00802DEC">
              <w:rPr>
                <w:rFonts w:eastAsia="Times New Roman" w:cs="Arial"/>
                <w:b w:val="0"/>
                <w:color w:val="000000"/>
                <w:szCs w:val="22"/>
              </w:rPr>
              <w:t>Neoclassical and</w:t>
            </w:r>
            <w:r w:rsidR="00FE1315">
              <w:rPr>
                <w:rFonts w:eastAsia="Times New Roman" w:cs="Arial"/>
                <w:b w:val="0"/>
                <w:color w:val="000000"/>
                <w:szCs w:val="22"/>
              </w:rPr>
              <w:t xml:space="preserve"> Romantic works of David, Goya, </w:t>
            </w:r>
            <w:proofErr w:type="spellStart"/>
            <w:r w:rsidR="00FE1315">
              <w:rPr>
                <w:rFonts w:eastAsia="Times New Roman" w:cs="Arial"/>
                <w:b w:val="0"/>
                <w:color w:val="000000"/>
                <w:szCs w:val="22"/>
              </w:rPr>
              <w:t>Géricault</w:t>
            </w:r>
            <w:proofErr w:type="spellEnd"/>
            <w:r w:rsidR="00FE1315">
              <w:rPr>
                <w:rFonts w:eastAsia="Times New Roman" w:cs="Arial"/>
                <w:b w:val="0"/>
                <w:color w:val="000000"/>
                <w:szCs w:val="22"/>
              </w:rPr>
              <w:t xml:space="preserve"> and Delacroix. </w:t>
            </w:r>
            <w:r w:rsidR="00802DEC" w:rsidRPr="00802DEC">
              <w:rPr>
                <w:rFonts w:eastAsia="Times New Roman" w:cs="Arial"/>
                <w:b w:val="0"/>
                <w:color w:val="000000"/>
                <w:szCs w:val="22"/>
              </w:rPr>
              <w:t>The shift to Realism and artists whose work</w:t>
            </w:r>
            <w:r w:rsidR="00FE1315">
              <w:rPr>
                <w:rFonts w:eastAsia="Times New Roman" w:cs="Arial"/>
                <w:b w:val="0"/>
                <w:color w:val="000000"/>
                <w:szCs w:val="22"/>
              </w:rPr>
              <w:t>s</w:t>
            </w:r>
            <w:r w:rsidR="00802DEC" w:rsidRPr="00802DEC">
              <w:rPr>
                <w:rFonts w:eastAsia="Times New Roman" w:cs="Arial"/>
                <w:b w:val="0"/>
                <w:color w:val="000000"/>
                <w:szCs w:val="22"/>
              </w:rPr>
              <w:t xml:space="preserve"> addre</w:t>
            </w:r>
            <w:r w:rsidR="00FE1315">
              <w:rPr>
                <w:rFonts w:eastAsia="Times New Roman" w:cs="Arial"/>
                <w:b w:val="0"/>
                <w:color w:val="000000"/>
                <w:szCs w:val="22"/>
              </w:rPr>
              <w:t>ss and observe</w:t>
            </w:r>
            <w:r w:rsidR="00802DEC" w:rsidRPr="00802DEC">
              <w:rPr>
                <w:rFonts w:eastAsia="Times New Roman" w:cs="Arial"/>
                <w:b w:val="0"/>
                <w:color w:val="000000"/>
                <w:szCs w:val="22"/>
              </w:rPr>
              <w:t xml:space="preserve"> the Industrial Revolution and its impact on cities and the working class</w:t>
            </w:r>
            <w:r w:rsidR="00FE1315">
              <w:rPr>
                <w:rFonts w:eastAsia="Times New Roman" w:cs="Arial"/>
                <w:b w:val="0"/>
                <w:color w:val="000000"/>
                <w:szCs w:val="22"/>
              </w:rPr>
              <w:t>,</w:t>
            </w:r>
            <w:r w:rsidR="00802DEC" w:rsidRPr="00802DEC">
              <w:rPr>
                <w:rFonts w:eastAsia="Times New Roman" w:cs="Arial"/>
                <w:b w:val="0"/>
                <w:color w:val="000000"/>
                <w:szCs w:val="22"/>
              </w:rPr>
              <w:t xml:space="preserve"> is an important subject in the second half of the semester.</w:t>
            </w:r>
          </w:p>
        </w:tc>
        <w:bookmarkStart w:id="0" w:name="_GoBack"/>
        <w:bookmarkEnd w:id="0"/>
      </w:tr>
      <w:tr w:rsidR="00802DEC" w:rsidRPr="00802DEC" w14:paraId="63CE84F0" w14:textId="77777777" w:rsidTr="00D07EF9">
        <w:trPr>
          <w:cnfStyle w:val="000000100000" w:firstRow="0" w:lastRow="0" w:firstColumn="0" w:lastColumn="0" w:oddVBand="0" w:evenVBand="0" w:oddHBand="1" w:evenHBand="0" w:firstRowFirstColumn="0" w:firstRowLastColumn="0" w:lastRowFirstColumn="0" w:lastRowLastColumn="0"/>
          <w:trHeight w:val="1830"/>
        </w:trPr>
        <w:tc>
          <w:tcPr>
            <w:cnfStyle w:val="001000000000" w:firstRow="0" w:lastRow="0" w:firstColumn="1" w:lastColumn="0" w:oddVBand="0" w:evenVBand="0" w:oddHBand="0" w:evenHBand="0" w:firstRowFirstColumn="0" w:firstRowLastColumn="0" w:lastRowFirstColumn="0" w:lastRowLastColumn="0"/>
            <w:tcW w:w="1890" w:type="dxa"/>
            <w:hideMark/>
          </w:tcPr>
          <w:p w14:paraId="25E17C89"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ART 104 (History of Modern Art)</w:t>
            </w:r>
          </w:p>
        </w:tc>
        <w:tc>
          <w:tcPr>
            <w:tcW w:w="1350" w:type="dxa"/>
            <w:hideMark/>
          </w:tcPr>
          <w:p w14:paraId="56735747"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Denise Erickson</w:t>
            </w:r>
          </w:p>
        </w:tc>
        <w:tc>
          <w:tcPr>
            <w:tcW w:w="9360" w:type="dxa"/>
            <w:hideMark/>
          </w:tcPr>
          <w:p w14:paraId="38FBA618" w14:textId="07556790" w:rsidR="005334E3" w:rsidRPr="005334E3" w:rsidRDefault="005334E3" w:rsidP="005334E3">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iCs/>
                <w:sz w:val="24"/>
                <w:szCs w:val="24"/>
              </w:rPr>
            </w:pPr>
            <w:r w:rsidRPr="005334E3">
              <w:rPr>
                <w:rFonts w:ascii="Arial" w:hAnsi="Arial" w:cs="Arial"/>
                <w:iCs/>
                <w:sz w:val="24"/>
                <w:szCs w:val="24"/>
              </w:rPr>
              <w:t xml:space="preserve">Social Justice is a potent theme in the history of Modern Art.  Of particular focus is </w:t>
            </w:r>
            <w:r w:rsidRPr="005334E3">
              <w:rPr>
                <w:rFonts w:ascii="Arial" w:hAnsi="Arial" w:cs="Arial"/>
                <w:iCs/>
                <w:sz w:val="24"/>
                <w:szCs w:val="24"/>
              </w:rPr>
              <w:t>how totalitarian regimes</w:t>
            </w:r>
            <w:r>
              <w:rPr>
                <w:rFonts w:ascii="Arial" w:hAnsi="Arial" w:cs="Arial"/>
                <w:iCs/>
                <w:sz w:val="24"/>
                <w:szCs w:val="24"/>
              </w:rPr>
              <w:t xml:space="preserve"> (especially the Nazis and the Soviets)</w:t>
            </w:r>
            <w:r w:rsidRPr="005334E3">
              <w:rPr>
                <w:rFonts w:ascii="Arial" w:hAnsi="Arial" w:cs="Arial"/>
                <w:iCs/>
                <w:sz w:val="24"/>
                <w:szCs w:val="24"/>
              </w:rPr>
              <w:t xml:space="preserve"> target</w:t>
            </w:r>
            <w:r w:rsidRPr="005334E3">
              <w:rPr>
                <w:rFonts w:ascii="Arial" w:hAnsi="Arial" w:cs="Arial"/>
                <w:iCs/>
                <w:sz w:val="24"/>
                <w:szCs w:val="24"/>
              </w:rPr>
              <w:t xml:space="preserve"> progressive </w:t>
            </w:r>
            <w:r w:rsidRPr="005334E3">
              <w:rPr>
                <w:rFonts w:ascii="Arial" w:hAnsi="Arial" w:cs="Arial"/>
                <w:iCs/>
                <w:sz w:val="24"/>
                <w:szCs w:val="24"/>
              </w:rPr>
              <w:t>art and artists</w:t>
            </w:r>
            <w:r w:rsidRPr="005334E3">
              <w:rPr>
                <w:rFonts w:ascii="Arial" w:hAnsi="Arial" w:cs="Arial"/>
                <w:iCs/>
                <w:sz w:val="24"/>
                <w:szCs w:val="24"/>
              </w:rPr>
              <w:t xml:space="preserve"> </w:t>
            </w:r>
            <w:r>
              <w:rPr>
                <w:rFonts w:ascii="Arial" w:hAnsi="Arial" w:cs="Arial"/>
                <w:iCs/>
                <w:sz w:val="24"/>
                <w:szCs w:val="24"/>
              </w:rPr>
              <w:t>for suppression and censorship,</w:t>
            </w:r>
            <w:r w:rsidRPr="005334E3">
              <w:rPr>
                <w:rFonts w:ascii="Arial" w:hAnsi="Arial" w:cs="Arial"/>
                <w:iCs/>
                <w:sz w:val="24"/>
                <w:szCs w:val="24"/>
              </w:rPr>
              <w:t xml:space="preserve"> and the impact this has on the artists</w:t>
            </w:r>
            <w:r w:rsidRPr="005334E3">
              <w:rPr>
                <w:rFonts w:ascii="Arial" w:hAnsi="Arial" w:cs="Arial"/>
                <w:iCs/>
                <w:sz w:val="24"/>
                <w:szCs w:val="24"/>
              </w:rPr>
              <w:t>. The crises in America of the Great Depression, the anxieties over changing values in the Post-War period, and the struggle for artists to speak to the social conscience of modern America, are explored though photography, murals, and films.</w:t>
            </w:r>
          </w:p>
          <w:p w14:paraId="291FAB81" w14:textId="77777777" w:rsidR="005334E3" w:rsidRPr="005334E3" w:rsidRDefault="005334E3" w:rsidP="005334E3">
            <w:pP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p w14:paraId="21E831E3" w14:textId="4AC10DAB"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p>
        </w:tc>
      </w:tr>
      <w:tr w:rsidR="00802DEC" w:rsidRPr="00802DEC" w14:paraId="620BCE73" w14:textId="77777777" w:rsidTr="00D07EF9">
        <w:trPr>
          <w:trHeight w:val="1710"/>
        </w:trPr>
        <w:tc>
          <w:tcPr>
            <w:cnfStyle w:val="001000000000" w:firstRow="0" w:lastRow="0" w:firstColumn="1" w:lastColumn="0" w:oddVBand="0" w:evenVBand="0" w:oddHBand="0" w:evenHBand="0" w:firstRowFirstColumn="0" w:firstRowLastColumn="0" w:lastRowFirstColumn="0" w:lastRowLastColumn="0"/>
            <w:tcW w:w="1890" w:type="dxa"/>
            <w:hideMark/>
          </w:tcPr>
          <w:p w14:paraId="04CEE33A"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ECE 249 (Leadership)</w:t>
            </w:r>
          </w:p>
        </w:tc>
        <w:tc>
          <w:tcPr>
            <w:tcW w:w="1350" w:type="dxa"/>
            <w:hideMark/>
          </w:tcPr>
          <w:p w14:paraId="0FEFDB1A"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Patricia Hall</w:t>
            </w:r>
          </w:p>
        </w:tc>
        <w:tc>
          <w:tcPr>
            <w:tcW w:w="9360" w:type="dxa"/>
            <w:hideMark/>
          </w:tcPr>
          <w:p w14:paraId="7FB51C4E"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Leadership is examined from both theoretical and practical perspectives through the Phi Theta Kappa (PTK) Leadership Development Studies curriculum. This course is designed to provide emerging and existing leaders the opportunity to explore the exercise of leadership and to develop and improve their skills for the exercise of leadership. The course integrates readings from the humanities, experiential exercises, films, and contemporary readings on leadership. Skills and knowledge acquired can be applied to personal and professional pursuits in social and environmental justice advocacy.</w:t>
            </w:r>
          </w:p>
        </w:tc>
      </w:tr>
      <w:tr w:rsidR="00802DEC" w:rsidRPr="00802DEC" w14:paraId="5D32C7EF" w14:textId="77777777" w:rsidTr="000C3B88">
        <w:trPr>
          <w:cnfStyle w:val="000000100000" w:firstRow="0" w:lastRow="0" w:firstColumn="0" w:lastColumn="0" w:oddVBand="0" w:evenVBand="0" w:oddHBand="1" w:evenHBand="0" w:firstRowFirstColumn="0" w:firstRowLastColumn="0" w:lastRowFirstColumn="0" w:lastRowLastColumn="0"/>
          <w:trHeight w:val="1296"/>
        </w:trPr>
        <w:tc>
          <w:tcPr>
            <w:cnfStyle w:val="001000000000" w:firstRow="0" w:lastRow="0" w:firstColumn="1" w:lastColumn="0" w:oddVBand="0" w:evenVBand="0" w:oddHBand="0" w:evenHBand="0" w:firstRowFirstColumn="0" w:firstRowLastColumn="0" w:lastRowFirstColumn="0" w:lastRowLastColumn="0"/>
            <w:tcW w:w="1890" w:type="dxa"/>
            <w:hideMark/>
          </w:tcPr>
          <w:p w14:paraId="79FC0431"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 xml:space="preserve">ENGL/LING 200 (Introduction to Linguistics); </w:t>
            </w:r>
          </w:p>
        </w:tc>
        <w:tc>
          <w:tcPr>
            <w:tcW w:w="1350" w:type="dxa"/>
            <w:hideMark/>
          </w:tcPr>
          <w:p w14:paraId="5439B3A7"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Sarah Harmon</w:t>
            </w:r>
          </w:p>
        </w:tc>
        <w:tc>
          <w:tcPr>
            <w:tcW w:w="9360" w:type="dxa"/>
            <w:hideMark/>
          </w:tcPr>
          <w:p w14:paraId="44ADDE37"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 xml:space="preserve">ENGL/LING 200: Throughout this course we will discuss aspects of how language and linguistic policy affect groups, language and dialect endangerment, and multilingual social norms interact with various human populations. You will be asked questions in your weekly journal that reflect these topics, as well as link to them in your term paper. </w:t>
            </w:r>
          </w:p>
        </w:tc>
      </w:tr>
      <w:tr w:rsidR="00802DEC" w:rsidRPr="00802DEC" w14:paraId="73326657" w14:textId="77777777" w:rsidTr="00D07EF9">
        <w:trPr>
          <w:trHeight w:val="1995"/>
        </w:trPr>
        <w:tc>
          <w:tcPr>
            <w:cnfStyle w:val="001000000000" w:firstRow="0" w:lastRow="0" w:firstColumn="1" w:lastColumn="0" w:oddVBand="0" w:evenVBand="0" w:oddHBand="0" w:evenHBand="0" w:firstRowFirstColumn="0" w:firstRowLastColumn="0" w:lastRowFirstColumn="0" w:lastRowLastColumn="0"/>
            <w:tcW w:w="1890" w:type="dxa"/>
            <w:hideMark/>
          </w:tcPr>
          <w:p w14:paraId="002D0182"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lastRenderedPageBreak/>
              <w:t>English 110</w:t>
            </w:r>
          </w:p>
        </w:tc>
        <w:tc>
          <w:tcPr>
            <w:tcW w:w="1350" w:type="dxa"/>
            <w:hideMark/>
          </w:tcPr>
          <w:p w14:paraId="599F77FF"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Maureen Wiley</w:t>
            </w:r>
          </w:p>
        </w:tc>
        <w:tc>
          <w:tcPr>
            <w:tcW w:w="9360" w:type="dxa"/>
            <w:hideMark/>
          </w:tcPr>
          <w:p w14:paraId="55CB4C13"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In English 110, we look at issues of marginalization and discrimination in our units on feminist literature and critical race theory. In the feminist literature unit, we look at feminist themes such as gender-based expectations and patriarchal values, as well as discuss gender theory and intersectionality. During our unit on Critical Race theory, we read Ta-Nehisi Coates's Between the World and Me, in addition to some supplementary materials on history and politics of racism in this country. The students learn about social justice issues like incarceration rates in the prison system in the United States. Much of the latter half of this course is dedicated to discussing social justice issues and how they are reflected in works of literature. The students are encouraged to draw upon their own experiences in order to connect deeply with the works of literature.</w:t>
            </w:r>
          </w:p>
        </w:tc>
      </w:tr>
      <w:tr w:rsidR="00802DEC" w:rsidRPr="00802DEC" w14:paraId="070754D0" w14:textId="77777777" w:rsidTr="00D07EF9">
        <w:trPr>
          <w:cnfStyle w:val="000000100000" w:firstRow="0" w:lastRow="0" w:firstColumn="0" w:lastColumn="0" w:oddVBand="0" w:evenVBand="0" w:oddHBand="1" w:evenHBand="0" w:firstRowFirstColumn="0" w:firstRowLastColumn="0" w:lastRowFirstColumn="0" w:lastRowLastColumn="0"/>
          <w:trHeight w:val="1140"/>
        </w:trPr>
        <w:tc>
          <w:tcPr>
            <w:cnfStyle w:val="001000000000" w:firstRow="0" w:lastRow="0" w:firstColumn="1" w:lastColumn="0" w:oddVBand="0" w:evenVBand="0" w:oddHBand="0" w:evenHBand="0" w:firstRowFirstColumn="0" w:firstRowLastColumn="0" w:lastRowFirstColumn="0" w:lastRowLastColumn="0"/>
            <w:tcW w:w="1890" w:type="dxa"/>
            <w:hideMark/>
          </w:tcPr>
          <w:p w14:paraId="6F8D17F4"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English 110 (2 sections)</w:t>
            </w:r>
          </w:p>
        </w:tc>
        <w:tc>
          <w:tcPr>
            <w:tcW w:w="1350" w:type="dxa"/>
            <w:hideMark/>
          </w:tcPr>
          <w:p w14:paraId="12DCF1B1"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Doniella Maher</w:t>
            </w:r>
          </w:p>
        </w:tc>
        <w:tc>
          <w:tcPr>
            <w:tcW w:w="9360" w:type="dxa"/>
            <w:hideMark/>
          </w:tcPr>
          <w:p w14:paraId="4130C521"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In this particular section of English 110 we will explore contemporary fiction about questions of exile and belonging in the American experience from a variety of social, economic, ethnic and political positions. Students will explore literature about and by communities left on the margins throughout U.S. history and the justifications for that exclusion.</w:t>
            </w:r>
          </w:p>
        </w:tc>
      </w:tr>
      <w:tr w:rsidR="00802DEC" w:rsidRPr="00802DEC" w14:paraId="72F65F4A" w14:textId="77777777" w:rsidTr="00D07EF9">
        <w:trPr>
          <w:trHeight w:val="1425"/>
        </w:trPr>
        <w:tc>
          <w:tcPr>
            <w:cnfStyle w:val="001000000000" w:firstRow="0" w:lastRow="0" w:firstColumn="1" w:lastColumn="0" w:oddVBand="0" w:evenVBand="0" w:oddHBand="0" w:evenHBand="0" w:firstRowFirstColumn="0" w:firstRowLastColumn="0" w:lastRowFirstColumn="0" w:lastRowLastColumn="0"/>
            <w:tcW w:w="1890" w:type="dxa"/>
            <w:hideMark/>
          </w:tcPr>
          <w:p w14:paraId="3F4D7087"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ENVS 115 (Environmental Science)</w:t>
            </w:r>
          </w:p>
        </w:tc>
        <w:tc>
          <w:tcPr>
            <w:tcW w:w="1350" w:type="dxa"/>
            <w:hideMark/>
          </w:tcPr>
          <w:p w14:paraId="18E2B107"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Susan Mahoney</w:t>
            </w:r>
          </w:p>
        </w:tc>
        <w:tc>
          <w:tcPr>
            <w:tcW w:w="9360" w:type="dxa"/>
            <w:hideMark/>
          </w:tcPr>
          <w:p w14:paraId="4BAE260B"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Sustainability is the central theme of the class, and social equity is one of the three pillars of sustainability. Thus, throughout the course we explore the social impacts of environmental issues, such as the unequal social and economic impacts of resource extraction, water/air pollution, and climate change. Additionally, we analyze the social impacts of the "solutions" to environmental issues. For example, are the benefits of organic agriculture, renewable energy, and urban planning equally available to everyone?</w:t>
            </w:r>
          </w:p>
        </w:tc>
      </w:tr>
      <w:tr w:rsidR="00802DEC" w:rsidRPr="00802DEC" w14:paraId="41284325" w14:textId="77777777" w:rsidTr="000C3B88">
        <w:trPr>
          <w:cnfStyle w:val="000000100000" w:firstRow="0" w:lastRow="0" w:firstColumn="0" w:lastColumn="0" w:oddVBand="0" w:evenVBand="0" w:oddHBand="1" w:evenHBand="0" w:firstRowFirstColumn="0" w:firstRowLastColumn="0" w:lastRowFirstColumn="0" w:lastRowLastColumn="0"/>
          <w:trHeight w:val="3744"/>
        </w:trPr>
        <w:tc>
          <w:tcPr>
            <w:cnfStyle w:val="001000000000" w:firstRow="0" w:lastRow="0" w:firstColumn="1" w:lastColumn="0" w:oddVBand="0" w:evenVBand="0" w:oddHBand="0" w:evenHBand="0" w:firstRowFirstColumn="0" w:firstRowLastColumn="0" w:lastRowFirstColumn="0" w:lastRowLastColumn="0"/>
            <w:tcW w:w="1890" w:type="dxa"/>
            <w:hideMark/>
          </w:tcPr>
          <w:p w14:paraId="70B29E47"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ESL 400 (Composition for Non-Native Speakers)</w:t>
            </w:r>
          </w:p>
        </w:tc>
        <w:tc>
          <w:tcPr>
            <w:tcW w:w="1350" w:type="dxa"/>
            <w:hideMark/>
          </w:tcPr>
          <w:p w14:paraId="0F6F0880"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Rebekah Sidman-Taveau</w:t>
            </w:r>
          </w:p>
        </w:tc>
        <w:tc>
          <w:tcPr>
            <w:tcW w:w="9360" w:type="dxa"/>
            <w:hideMark/>
          </w:tcPr>
          <w:p w14:paraId="31A5CFF9" w14:textId="2C25A353"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 xml:space="preserve">We begin by investigating stories of resistance, activism, and success in the face of enormous challenges. We read and exchange understandings and interpretations of Frederick Douglass' "Learning to Read and Write" and Malala Yousafzai's "I am Malala." We also read and engage in interactive activities around poetry by Maya Angelou, Jimmy Baca, Joy Harjo and texts by </w:t>
            </w:r>
            <w:proofErr w:type="spellStart"/>
            <w:r w:rsidRPr="00802DEC">
              <w:rPr>
                <w:rFonts w:eastAsia="Times New Roman" w:cs="Arial"/>
                <w:color w:val="000000"/>
                <w:szCs w:val="22"/>
              </w:rPr>
              <w:t>Majorie</w:t>
            </w:r>
            <w:proofErr w:type="spellEnd"/>
            <w:r w:rsidRPr="00802DEC">
              <w:rPr>
                <w:rFonts w:eastAsia="Times New Roman" w:cs="Arial"/>
                <w:color w:val="000000"/>
                <w:szCs w:val="22"/>
              </w:rPr>
              <w:t xml:space="preserve"> </w:t>
            </w:r>
            <w:proofErr w:type="spellStart"/>
            <w:r w:rsidRPr="00802DEC">
              <w:rPr>
                <w:rFonts w:eastAsia="Times New Roman" w:cs="Arial"/>
                <w:color w:val="000000"/>
                <w:szCs w:val="22"/>
              </w:rPr>
              <w:t>Agosin</w:t>
            </w:r>
            <w:proofErr w:type="spellEnd"/>
            <w:r w:rsidRPr="00802DEC">
              <w:rPr>
                <w:rFonts w:eastAsia="Times New Roman" w:cs="Arial"/>
                <w:color w:val="000000"/>
                <w:szCs w:val="22"/>
              </w:rPr>
              <w:t xml:space="preserve">, Sherman Alexie, Judith Ortiz </w:t>
            </w:r>
            <w:proofErr w:type="spellStart"/>
            <w:r w:rsidRPr="00802DEC">
              <w:rPr>
                <w:rFonts w:eastAsia="Times New Roman" w:cs="Arial"/>
                <w:color w:val="000000"/>
                <w:szCs w:val="22"/>
              </w:rPr>
              <w:t>Cofer</w:t>
            </w:r>
            <w:proofErr w:type="spellEnd"/>
            <w:r w:rsidRPr="00802DEC">
              <w:rPr>
                <w:rFonts w:eastAsia="Times New Roman" w:cs="Arial"/>
                <w:color w:val="000000"/>
                <w:szCs w:val="22"/>
              </w:rPr>
              <w:t xml:space="preserve">, Audre Lorde, Edward Said, and Persis Karim. Using the stories of these diverse writers as inspiration, students then write their own essay about overcoming significant challenges. Next we study the concept of ethics and debate and analyze ethical dilemmas using professional ethics standards. Following this, students research for and write a social justice essay on a topic of their choosing addressing a social/political/ethnical issue and proposing solutions. Lastly, we engage in a Civil Rights unit where students learn about Jim Crow laws, Martin Luther King's non-violent resistance including inspiration from Gandhi and key moments in the Civil Rights moment. Students become researchers and experts in an area and teach each other the history leading up to MLK's famous </w:t>
            </w:r>
            <w:hyperlink r:id="rId5" w:history="1">
              <w:r w:rsidRPr="00D07EF9">
                <w:rPr>
                  <w:rStyle w:val="Hyperlink"/>
                  <w:rFonts w:eastAsia="Times New Roman" w:cs="Arial"/>
                  <w:szCs w:val="22"/>
                </w:rPr>
                <w:t>"Letter from a Birmingham Jail."</w:t>
              </w:r>
            </w:hyperlink>
          </w:p>
        </w:tc>
      </w:tr>
      <w:tr w:rsidR="00802DEC" w:rsidRPr="00802DEC" w14:paraId="760C71F6" w14:textId="77777777" w:rsidTr="00D07EF9">
        <w:trPr>
          <w:trHeight w:val="855"/>
        </w:trPr>
        <w:tc>
          <w:tcPr>
            <w:cnfStyle w:val="001000000000" w:firstRow="0" w:lastRow="0" w:firstColumn="1" w:lastColumn="0" w:oddVBand="0" w:evenVBand="0" w:oddHBand="0" w:evenHBand="0" w:firstRowFirstColumn="0" w:firstRowLastColumn="0" w:lastRowFirstColumn="0" w:lastRowLastColumn="0"/>
            <w:tcW w:w="1890" w:type="dxa"/>
            <w:hideMark/>
          </w:tcPr>
          <w:p w14:paraId="40A4CB6B" w14:textId="4C8306DA"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lastRenderedPageBreak/>
              <w:t>FITN 334.1</w:t>
            </w:r>
            <w:r w:rsidR="000C3B88">
              <w:rPr>
                <w:rFonts w:eastAsia="Times New Roman" w:cs="Arial"/>
                <w:color w:val="000000"/>
                <w:szCs w:val="22"/>
              </w:rPr>
              <w:t>-</w:t>
            </w:r>
            <w:r w:rsidRPr="00802DEC">
              <w:rPr>
                <w:rFonts w:eastAsia="Times New Roman" w:cs="Arial"/>
                <w:color w:val="000000"/>
                <w:szCs w:val="22"/>
              </w:rPr>
              <w:t>4 Yoga</w:t>
            </w:r>
          </w:p>
        </w:tc>
        <w:tc>
          <w:tcPr>
            <w:tcW w:w="1350" w:type="dxa"/>
            <w:hideMark/>
          </w:tcPr>
          <w:p w14:paraId="0D1C8DB5"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Ana Miladinova</w:t>
            </w:r>
          </w:p>
        </w:tc>
        <w:tc>
          <w:tcPr>
            <w:tcW w:w="9360" w:type="dxa"/>
            <w:hideMark/>
          </w:tcPr>
          <w:p w14:paraId="1B751752"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We will be discussing the ethical principles of Yoga and how they could apply in daily life. After the readings and discussion, the homework assignment is to write about a selected ethical principle and how the student would apply the ethical principle into his/her daily life.</w:t>
            </w:r>
          </w:p>
        </w:tc>
      </w:tr>
      <w:tr w:rsidR="00802DEC" w:rsidRPr="00802DEC" w14:paraId="5232B3AB" w14:textId="77777777" w:rsidTr="00D07EF9">
        <w:trPr>
          <w:cnfStyle w:val="000000100000" w:firstRow="0" w:lastRow="0" w:firstColumn="0" w:lastColumn="0" w:oddVBand="0" w:evenVBand="0" w:oddHBand="1" w:evenHBand="0" w:firstRowFirstColumn="0" w:firstRowLastColumn="0" w:lastRowFirstColumn="0" w:lastRowLastColumn="0"/>
          <w:trHeight w:val="1425"/>
        </w:trPr>
        <w:tc>
          <w:tcPr>
            <w:cnfStyle w:val="001000000000" w:firstRow="0" w:lastRow="0" w:firstColumn="1" w:lastColumn="0" w:oddVBand="0" w:evenVBand="0" w:oddHBand="0" w:evenHBand="0" w:firstRowFirstColumn="0" w:firstRowLastColumn="0" w:lastRowFirstColumn="0" w:lastRowLastColumn="0"/>
            <w:tcW w:w="1890" w:type="dxa"/>
            <w:hideMark/>
          </w:tcPr>
          <w:p w14:paraId="567CEE04"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HIST 100 (Western Civilization I)</w:t>
            </w:r>
          </w:p>
        </w:tc>
        <w:tc>
          <w:tcPr>
            <w:tcW w:w="1350" w:type="dxa"/>
            <w:hideMark/>
          </w:tcPr>
          <w:p w14:paraId="11C3EED7"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Michael Stanford</w:t>
            </w:r>
          </w:p>
        </w:tc>
        <w:tc>
          <w:tcPr>
            <w:tcW w:w="9360" w:type="dxa"/>
            <w:hideMark/>
          </w:tcPr>
          <w:p w14:paraId="24AE6A5A"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Hist 100 (Western Civilization I)</w:t>
            </w:r>
            <w:r w:rsidRPr="00802DEC">
              <w:rPr>
                <w:rFonts w:eastAsia="Times New Roman" w:cs="Arial"/>
                <w:color w:val="000000"/>
                <w:szCs w:val="22"/>
              </w:rPr>
              <w:br w:type="page"/>
              <w:t>As with many history courses, History 100 addresses issues of social justice by studying the past. Studying the social structures of ancient societies following the Neolithic Revolution along with a comparison of civilizations, as well as the political theory developed in ancient Greece and Rome will help students to understand present day politics of social and economic inequality.</w:t>
            </w:r>
          </w:p>
        </w:tc>
      </w:tr>
      <w:tr w:rsidR="00802DEC" w:rsidRPr="00802DEC" w14:paraId="217B2BDF" w14:textId="77777777" w:rsidTr="00D07EF9">
        <w:trPr>
          <w:trHeight w:val="1710"/>
        </w:trPr>
        <w:tc>
          <w:tcPr>
            <w:cnfStyle w:val="001000000000" w:firstRow="0" w:lastRow="0" w:firstColumn="1" w:lastColumn="0" w:oddVBand="0" w:evenVBand="0" w:oddHBand="0" w:evenHBand="0" w:firstRowFirstColumn="0" w:firstRowLastColumn="0" w:lastRowFirstColumn="0" w:lastRowLastColumn="0"/>
            <w:tcW w:w="1890" w:type="dxa"/>
            <w:hideMark/>
          </w:tcPr>
          <w:p w14:paraId="7E239111"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HIST 101 (Western Civilization II)</w:t>
            </w:r>
          </w:p>
        </w:tc>
        <w:tc>
          <w:tcPr>
            <w:tcW w:w="1350" w:type="dxa"/>
            <w:hideMark/>
          </w:tcPr>
          <w:p w14:paraId="3581333C"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Michael Stanford</w:t>
            </w:r>
          </w:p>
        </w:tc>
        <w:tc>
          <w:tcPr>
            <w:tcW w:w="9360" w:type="dxa"/>
            <w:hideMark/>
          </w:tcPr>
          <w:p w14:paraId="38975A97" w14:textId="040BBC7E"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szCs w:val="22"/>
              </w:rPr>
            </w:pPr>
            <w:r w:rsidRPr="00802DEC">
              <w:rPr>
                <w:rFonts w:eastAsia="Times New Roman" w:cs="Arial"/>
                <w:szCs w:val="22"/>
              </w:rPr>
              <w:t>As with many history courses, History 101 addresses issues of social justice by studying the past. In many ways, the study of Western Europe from the Middle Ages through 1945 is essential to understanding our world today.  Subjects include the Enlightenment, the French Revolution, political ideologies of the 1800s and 1900s, Marxism and the Russian Revolution, the Industrial Revolution and its effects on society, and attempts to ameliorate inequality during the 20th century.</w:t>
            </w:r>
          </w:p>
        </w:tc>
      </w:tr>
      <w:tr w:rsidR="00802DEC" w:rsidRPr="00802DEC" w14:paraId="5B3628F5" w14:textId="77777777" w:rsidTr="000C3B88">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1890" w:type="dxa"/>
            <w:hideMark/>
          </w:tcPr>
          <w:p w14:paraId="0D4EDBC3"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HIST 201 (US History I)</w:t>
            </w:r>
          </w:p>
        </w:tc>
        <w:tc>
          <w:tcPr>
            <w:tcW w:w="1350" w:type="dxa"/>
            <w:hideMark/>
          </w:tcPr>
          <w:p w14:paraId="255181D6"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Michael Stanford</w:t>
            </w:r>
          </w:p>
        </w:tc>
        <w:tc>
          <w:tcPr>
            <w:tcW w:w="9360" w:type="dxa"/>
            <w:hideMark/>
          </w:tcPr>
          <w:p w14:paraId="42EEB8D9" w14:textId="514ACD9E"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As with many history courses, History 201 addresses issues of social justice by studying the past.  This class specifically addresses issues of inequality through the Revolutionary War and its Enlightenment underpinnings, Native American History, the history of African Americans/slavery, and the history of the Mexican-American War.</w:t>
            </w:r>
          </w:p>
        </w:tc>
      </w:tr>
      <w:tr w:rsidR="00802DEC" w:rsidRPr="00802DEC" w14:paraId="761C3097" w14:textId="77777777" w:rsidTr="000C3B88">
        <w:trPr>
          <w:trHeight w:val="1440"/>
        </w:trPr>
        <w:tc>
          <w:tcPr>
            <w:cnfStyle w:val="001000000000" w:firstRow="0" w:lastRow="0" w:firstColumn="1" w:lastColumn="0" w:oddVBand="0" w:evenVBand="0" w:oddHBand="0" w:evenHBand="0" w:firstRowFirstColumn="0" w:firstRowLastColumn="0" w:lastRowFirstColumn="0" w:lastRowLastColumn="0"/>
            <w:tcW w:w="1890" w:type="dxa"/>
            <w:hideMark/>
          </w:tcPr>
          <w:p w14:paraId="47CE2DD3"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HIST 202 (US History II)</w:t>
            </w:r>
          </w:p>
        </w:tc>
        <w:tc>
          <w:tcPr>
            <w:tcW w:w="1350" w:type="dxa"/>
            <w:hideMark/>
          </w:tcPr>
          <w:p w14:paraId="4BC0C3EE"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Michael Stanford</w:t>
            </w:r>
          </w:p>
        </w:tc>
        <w:tc>
          <w:tcPr>
            <w:tcW w:w="9360" w:type="dxa"/>
            <w:hideMark/>
          </w:tcPr>
          <w:p w14:paraId="3D2957DB" w14:textId="649B48C5"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As with many history courses, History 202 addresses issues of social justice by studying the past. This course specifically addresses issues of inequality through the study of Reconstruction, Native American policy, the changing structure of class and income inequality during the Industrial Revolution, immigration during the late 1800s through the early 1900s, Franklin Roosevelt and the New Deal, and the years following WWII.</w:t>
            </w:r>
          </w:p>
        </w:tc>
      </w:tr>
      <w:tr w:rsidR="00802DEC" w:rsidRPr="00802DEC" w14:paraId="62EE6B7B" w14:textId="77777777" w:rsidTr="00D07EF9">
        <w:trPr>
          <w:cnfStyle w:val="000000100000" w:firstRow="0" w:lastRow="0" w:firstColumn="0" w:lastColumn="0" w:oddVBand="0" w:evenVBand="0" w:oddHBand="1" w:evenHBand="0" w:firstRowFirstColumn="0" w:firstRowLastColumn="0" w:lastRowFirstColumn="0" w:lastRowLastColumn="0"/>
          <w:trHeight w:val="1710"/>
        </w:trPr>
        <w:tc>
          <w:tcPr>
            <w:cnfStyle w:val="001000000000" w:firstRow="0" w:lastRow="0" w:firstColumn="1" w:lastColumn="0" w:oddVBand="0" w:evenVBand="0" w:oddHBand="0" w:evenHBand="0" w:firstRowFirstColumn="0" w:firstRowLastColumn="0" w:lastRowFirstColumn="0" w:lastRowLastColumn="0"/>
            <w:tcW w:w="1890" w:type="dxa"/>
            <w:hideMark/>
          </w:tcPr>
          <w:p w14:paraId="32810E5D"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HIST 245 - History of Race, Ethnicity and Immigration</w:t>
            </w:r>
          </w:p>
        </w:tc>
        <w:tc>
          <w:tcPr>
            <w:tcW w:w="1350" w:type="dxa"/>
            <w:hideMark/>
          </w:tcPr>
          <w:p w14:paraId="1C10C2DB"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Alison Field</w:t>
            </w:r>
          </w:p>
        </w:tc>
        <w:tc>
          <w:tcPr>
            <w:tcW w:w="9360" w:type="dxa"/>
            <w:hideMark/>
          </w:tcPr>
          <w:p w14:paraId="4A100075"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History of Race, Ethnicity and Immigration has social justice as a theme throughout! Some of the topics we look at include -- the 1600s uprisings of servants, enslaved people and the landless in the English colonies; resistance to slavery in the 1800s and the ways in which immigrant groups resisted nativism. For example, the formation of the Japanese Mexican Labor Association in early 1900s CA and the formation of ethnic enclaves and mutual aid societies, among many newcomers. We also look at the wide and deep civil rights and freedom struggles and consider contemporary issues around immigration and police violence.</w:t>
            </w:r>
          </w:p>
        </w:tc>
      </w:tr>
      <w:tr w:rsidR="00802DEC" w:rsidRPr="00802DEC" w14:paraId="2E2D836E" w14:textId="77777777" w:rsidTr="00D07EF9">
        <w:trPr>
          <w:trHeight w:val="1425"/>
        </w:trPr>
        <w:tc>
          <w:tcPr>
            <w:cnfStyle w:val="001000000000" w:firstRow="0" w:lastRow="0" w:firstColumn="1" w:lastColumn="0" w:oddVBand="0" w:evenVBand="0" w:oddHBand="0" w:evenHBand="0" w:firstRowFirstColumn="0" w:firstRowLastColumn="0" w:lastRowFirstColumn="0" w:lastRowLastColumn="0"/>
            <w:tcW w:w="1890" w:type="dxa"/>
            <w:hideMark/>
          </w:tcPr>
          <w:p w14:paraId="6F9E4BDC"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lastRenderedPageBreak/>
              <w:t>HSCI 100 (General Health Science) (not Fall 2018)</w:t>
            </w:r>
          </w:p>
        </w:tc>
        <w:tc>
          <w:tcPr>
            <w:tcW w:w="1350" w:type="dxa"/>
            <w:hideMark/>
          </w:tcPr>
          <w:p w14:paraId="26D132A1"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Danielle Behonick</w:t>
            </w:r>
          </w:p>
        </w:tc>
        <w:tc>
          <w:tcPr>
            <w:tcW w:w="9360" w:type="dxa"/>
            <w:hideMark/>
          </w:tcPr>
          <w:p w14:paraId="42902022"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HSCI 100 is an analysis of contemporary health issues with a focus on health literacy, patient engagement and disease prevention. Social factors influencing the health outcomes of individuals throughout the lifespan are considered, including the impact of race and ethnicity and socioeconomic status on how individuals access, utilize and experience the American health care system. Students are asked to reflect on their own experiences as health care patients when considering course content.</w:t>
            </w:r>
          </w:p>
        </w:tc>
      </w:tr>
      <w:tr w:rsidR="00802DEC" w:rsidRPr="00802DEC" w14:paraId="0634A403" w14:textId="77777777" w:rsidTr="00D07EF9">
        <w:trPr>
          <w:cnfStyle w:val="000000100000" w:firstRow="0" w:lastRow="0" w:firstColumn="0" w:lastColumn="0" w:oddVBand="0" w:evenVBand="0" w:oddHBand="1" w:evenHBand="0" w:firstRowFirstColumn="0" w:firstRowLastColumn="0" w:lastRowFirstColumn="0" w:lastRowLastColumn="0"/>
          <w:trHeight w:val="2850"/>
        </w:trPr>
        <w:tc>
          <w:tcPr>
            <w:cnfStyle w:val="001000000000" w:firstRow="0" w:lastRow="0" w:firstColumn="1" w:lastColumn="0" w:oddVBand="0" w:evenVBand="0" w:oddHBand="0" w:evenHBand="0" w:firstRowFirstColumn="0" w:firstRowLastColumn="0" w:lastRowFirstColumn="0" w:lastRowLastColumn="0"/>
            <w:tcW w:w="1890" w:type="dxa"/>
            <w:hideMark/>
          </w:tcPr>
          <w:p w14:paraId="2317ECF4"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LIT 372 (Myth and Folklore of La Raza</w:t>
            </w:r>
          </w:p>
        </w:tc>
        <w:tc>
          <w:tcPr>
            <w:tcW w:w="1350" w:type="dxa"/>
            <w:hideMark/>
          </w:tcPr>
          <w:p w14:paraId="67EA05E2"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Yolanda Valenzuela</w:t>
            </w:r>
          </w:p>
        </w:tc>
        <w:tc>
          <w:tcPr>
            <w:tcW w:w="9360" w:type="dxa"/>
            <w:hideMark/>
          </w:tcPr>
          <w:p w14:paraId="17F0A69D" w14:textId="3AF77D05"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 xml:space="preserve">Social Justice is an important part of the social and political movements that have occurred in Mexico and the United States. The post-revolutionary social movement in Mexico that began in the 1920’s promoted </w:t>
            </w:r>
            <w:proofErr w:type="spellStart"/>
            <w:r w:rsidRPr="00802DEC">
              <w:rPr>
                <w:rFonts w:eastAsia="Times New Roman" w:cs="Arial"/>
                <w:color w:val="000000"/>
                <w:szCs w:val="22"/>
              </w:rPr>
              <w:t>mejicanismo</w:t>
            </w:r>
            <w:proofErr w:type="spellEnd"/>
            <w:r w:rsidRPr="00802DEC">
              <w:rPr>
                <w:rFonts w:eastAsia="Times New Roman" w:cs="Arial"/>
                <w:color w:val="000000"/>
                <w:szCs w:val="22"/>
              </w:rPr>
              <w:t xml:space="preserve"> (pride in the heritage of a mixed heritage) through the government-sponsored mural movement and folkloric traditions that tried to replace the racist and classist Eurocentric economic hierarchy that had dispossessed the majority of Mexicans and indigenous.  The Mexican-Americans in the Chicano Movement, which was part of the Civil Rights Movement in the United States, embraced the same pride in their mixed heritage as they fought for social justice for Mexican-Americans in the 1960s and 1970s. As this class examines the connection between Mexico’s Native American culture, like its mythology, and the more modern Mexican/Mexican-American culture, like its folkloric traditions, it will interpret the significance of the cultural symbols used in these social and political movements.  </w:t>
            </w:r>
          </w:p>
        </w:tc>
      </w:tr>
      <w:tr w:rsidR="00802DEC" w:rsidRPr="00802DEC" w14:paraId="6E993724" w14:textId="77777777" w:rsidTr="000C3B88">
        <w:trPr>
          <w:trHeight w:val="576"/>
        </w:trPr>
        <w:tc>
          <w:tcPr>
            <w:cnfStyle w:val="001000000000" w:firstRow="0" w:lastRow="0" w:firstColumn="1" w:lastColumn="0" w:oddVBand="0" w:evenVBand="0" w:oddHBand="0" w:evenHBand="0" w:firstRowFirstColumn="0" w:firstRowLastColumn="0" w:lastRowFirstColumn="0" w:lastRowLastColumn="0"/>
            <w:tcW w:w="1890" w:type="dxa"/>
            <w:hideMark/>
          </w:tcPr>
          <w:p w14:paraId="2C84CBCD"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MATH 225 (Path to Calculus)</w:t>
            </w:r>
          </w:p>
        </w:tc>
        <w:tc>
          <w:tcPr>
            <w:tcW w:w="1350" w:type="dxa"/>
            <w:hideMark/>
          </w:tcPr>
          <w:p w14:paraId="7D8B4099"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Michael Hoffman</w:t>
            </w:r>
          </w:p>
        </w:tc>
        <w:tc>
          <w:tcPr>
            <w:tcW w:w="9360" w:type="dxa"/>
            <w:hideMark/>
          </w:tcPr>
          <w:p w14:paraId="623A3892"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Social Justice: Students explore the social context for the science and reflect on the social role they'd like their STEM knowledge to play.</w:t>
            </w:r>
          </w:p>
        </w:tc>
      </w:tr>
      <w:tr w:rsidR="00802DEC" w:rsidRPr="00802DEC" w14:paraId="4B2941C4" w14:textId="77777777" w:rsidTr="00D07EF9">
        <w:trPr>
          <w:cnfStyle w:val="000000100000" w:firstRow="0" w:lastRow="0" w:firstColumn="0" w:lastColumn="0" w:oddVBand="0" w:evenVBand="0" w:oddHBand="1" w:evenHBand="0" w:firstRowFirstColumn="0" w:firstRowLastColumn="0" w:lastRowFirstColumn="0" w:lastRowLastColumn="0"/>
          <w:trHeight w:val="1140"/>
        </w:trPr>
        <w:tc>
          <w:tcPr>
            <w:cnfStyle w:val="001000000000" w:firstRow="0" w:lastRow="0" w:firstColumn="1" w:lastColumn="0" w:oddVBand="0" w:evenVBand="0" w:oddHBand="0" w:evenHBand="0" w:firstRowFirstColumn="0" w:firstRowLastColumn="0" w:lastRowFirstColumn="0" w:lastRowLastColumn="0"/>
            <w:tcW w:w="1890" w:type="dxa"/>
            <w:hideMark/>
          </w:tcPr>
          <w:p w14:paraId="06E554D2"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MUS 210 (History of Popular Music and Rock)</w:t>
            </w:r>
          </w:p>
        </w:tc>
        <w:tc>
          <w:tcPr>
            <w:tcW w:w="1350" w:type="dxa"/>
            <w:hideMark/>
          </w:tcPr>
          <w:p w14:paraId="26F3AFC4"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David Meckler</w:t>
            </w:r>
          </w:p>
        </w:tc>
        <w:tc>
          <w:tcPr>
            <w:tcW w:w="9360" w:type="dxa"/>
            <w:hideMark/>
          </w:tcPr>
          <w:p w14:paraId="6DAAC3DF"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MUS 210 explores the relationships of different ethnic groups in American music. The frequent appropriation of minority culture, both acknowledged and unacknowledged, is demonstrated.</w:t>
            </w:r>
          </w:p>
        </w:tc>
      </w:tr>
      <w:tr w:rsidR="00802DEC" w:rsidRPr="00802DEC" w14:paraId="7C8EC296" w14:textId="77777777" w:rsidTr="00D07EF9">
        <w:trPr>
          <w:trHeight w:val="1425"/>
        </w:trPr>
        <w:tc>
          <w:tcPr>
            <w:cnfStyle w:val="001000000000" w:firstRow="0" w:lastRow="0" w:firstColumn="1" w:lastColumn="0" w:oddVBand="0" w:evenVBand="0" w:oddHBand="0" w:evenHBand="0" w:firstRowFirstColumn="0" w:firstRowLastColumn="0" w:lastRowFirstColumn="0" w:lastRowLastColumn="0"/>
            <w:tcW w:w="1890" w:type="dxa"/>
            <w:hideMark/>
          </w:tcPr>
          <w:p w14:paraId="08CCCA82"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MUS 240 (Music of the Americas)</w:t>
            </w:r>
          </w:p>
        </w:tc>
        <w:tc>
          <w:tcPr>
            <w:tcW w:w="1350" w:type="dxa"/>
            <w:hideMark/>
          </w:tcPr>
          <w:p w14:paraId="33818996"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David Meckler</w:t>
            </w:r>
          </w:p>
        </w:tc>
        <w:tc>
          <w:tcPr>
            <w:tcW w:w="9360" w:type="dxa"/>
            <w:hideMark/>
          </w:tcPr>
          <w:p w14:paraId="0B88075A"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MUS 240 often explores the relationship of musical resources to the natural and built environment, such as armadillo shells substituting for scarce wood in Andean string instruments, or discarded steel drums being hammered into musical service. The frequent narrative of a lower class music becoming the pride of a nation is repeatedly heard in this class. Additionally, the many Latin influences on North American popular music are demonstrated.</w:t>
            </w:r>
          </w:p>
        </w:tc>
      </w:tr>
      <w:tr w:rsidR="00802DEC" w:rsidRPr="00802DEC" w14:paraId="5823850A" w14:textId="77777777" w:rsidTr="00D07EF9">
        <w:trPr>
          <w:cnfStyle w:val="000000100000" w:firstRow="0" w:lastRow="0" w:firstColumn="0" w:lastColumn="0" w:oddVBand="0" w:evenVBand="0" w:oddHBand="1"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1890" w:type="dxa"/>
            <w:hideMark/>
          </w:tcPr>
          <w:p w14:paraId="0BCBEBDB"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PHIL 100 (Introduction to Philosophy)</w:t>
            </w:r>
          </w:p>
        </w:tc>
        <w:tc>
          <w:tcPr>
            <w:tcW w:w="1350" w:type="dxa"/>
            <w:hideMark/>
          </w:tcPr>
          <w:p w14:paraId="2923F1AC"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David Eck</w:t>
            </w:r>
          </w:p>
        </w:tc>
        <w:tc>
          <w:tcPr>
            <w:tcW w:w="9360" w:type="dxa"/>
            <w:hideMark/>
          </w:tcPr>
          <w:p w14:paraId="62FB2767"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In PHIL 100, we examine two of the most influential ethical theories in Western Philosophy: deontology and virtue ethics. Additionally, we examine the nature of personal identity, including discussions of gender and racial identities as well as related ethical issues.</w:t>
            </w:r>
          </w:p>
        </w:tc>
      </w:tr>
      <w:tr w:rsidR="00802DEC" w:rsidRPr="00802DEC" w14:paraId="7F09393B" w14:textId="77777777" w:rsidTr="00D07EF9">
        <w:trPr>
          <w:trHeight w:val="1710"/>
        </w:trPr>
        <w:tc>
          <w:tcPr>
            <w:cnfStyle w:val="001000000000" w:firstRow="0" w:lastRow="0" w:firstColumn="1" w:lastColumn="0" w:oddVBand="0" w:evenVBand="0" w:oddHBand="0" w:evenHBand="0" w:firstRowFirstColumn="0" w:firstRowLastColumn="0" w:lastRowFirstColumn="0" w:lastRowLastColumn="0"/>
            <w:tcW w:w="1890" w:type="dxa"/>
            <w:hideMark/>
          </w:tcPr>
          <w:p w14:paraId="65B3BCAD"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lastRenderedPageBreak/>
              <w:t>PHIL 240 (Introduction to Ethics)</w:t>
            </w:r>
          </w:p>
        </w:tc>
        <w:tc>
          <w:tcPr>
            <w:tcW w:w="1350" w:type="dxa"/>
            <w:hideMark/>
          </w:tcPr>
          <w:p w14:paraId="3B5A3634"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David Eck</w:t>
            </w:r>
          </w:p>
        </w:tc>
        <w:tc>
          <w:tcPr>
            <w:tcW w:w="9360" w:type="dxa"/>
            <w:hideMark/>
          </w:tcPr>
          <w:p w14:paraId="0EDE3E50" w14:textId="5DF103C4"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In PHIL 240, we examine a range</w:t>
            </w:r>
            <w:r w:rsidR="00D07EF9">
              <w:rPr>
                <w:rFonts w:eastAsia="Times New Roman" w:cs="Arial"/>
                <w:color w:val="000000"/>
                <w:szCs w:val="22"/>
              </w:rPr>
              <w:t xml:space="preserve"> of</w:t>
            </w:r>
            <w:r w:rsidRPr="00802DEC">
              <w:rPr>
                <w:rFonts w:eastAsia="Times New Roman" w:cs="Arial"/>
                <w:color w:val="000000"/>
                <w:szCs w:val="22"/>
              </w:rPr>
              <w:t xml:space="preserve"> ethical theories: including deontology, virtue ethics, utilitarianism, and the ethics of care. We spend at least one week on environment ethics: analyzing foundational questions, such as whether nature possesses instrumental or intrinsic value; the role of technology in addressing and exacerbating environmental problems. The final 2-3 weeks of the course focus on applied ethics issues; the specific topics are selected based on input from the students. Potential topics include world hunger, consumer ethics, animal rights, affirmative action, free speech, sexism, and racism.</w:t>
            </w:r>
          </w:p>
        </w:tc>
      </w:tr>
      <w:tr w:rsidR="00802DEC" w:rsidRPr="00802DEC" w14:paraId="5D36786D" w14:textId="77777777" w:rsidTr="000C3B88">
        <w:trPr>
          <w:cnfStyle w:val="000000100000" w:firstRow="0" w:lastRow="0" w:firstColumn="0" w:lastColumn="0" w:oddVBand="0" w:evenVBand="0" w:oddHBand="1" w:evenHBand="0" w:firstRowFirstColumn="0" w:firstRowLastColumn="0" w:lastRowFirstColumn="0" w:lastRowLastColumn="0"/>
          <w:trHeight w:val="1872"/>
        </w:trPr>
        <w:tc>
          <w:tcPr>
            <w:cnfStyle w:val="001000000000" w:firstRow="0" w:lastRow="0" w:firstColumn="1" w:lastColumn="0" w:oddVBand="0" w:evenVBand="0" w:oddHBand="0" w:evenHBand="0" w:firstRowFirstColumn="0" w:firstRowLastColumn="0" w:lastRowFirstColumn="0" w:lastRowLastColumn="0"/>
            <w:tcW w:w="1890" w:type="dxa"/>
            <w:hideMark/>
          </w:tcPr>
          <w:p w14:paraId="1FE59927"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PLSC 210 (American Politics)</w:t>
            </w:r>
          </w:p>
        </w:tc>
        <w:tc>
          <w:tcPr>
            <w:tcW w:w="1350" w:type="dxa"/>
            <w:hideMark/>
          </w:tcPr>
          <w:p w14:paraId="46312570"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Lezlee Ware</w:t>
            </w:r>
          </w:p>
        </w:tc>
        <w:tc>
          <w:tcPr>
            <w:tcW w:w="9360" w:type="dxa"/>
            <w:hideMark/>
          </w:tcPr>
          <w:p w14:paraId="66762356" w14:textId="438408CD"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The goal of this pathway is for students to consider complex social justice issues such as those related to power, race, religion, income, immigration status, gender, childhood, and sexual orientation from a variety of interdisciplinary perspectives. This semester we will focus on the link between social justice and labor. Students are challenged to think critically about what it means to create a just and equitable society that celebrates human diversity in our own time, and in the past, across cultures. They will develop the critical framework for understanding and building a foundation for action and social change.</w:t>
            </w:r>
          </w:p>
        </w:tc>
      </w:tr>
      <w:tr w:rsidR="00802DEC" w:rsidRPr="00802DEC" w14:paraId="280E523F" w14:textId="77777777" w:rsidTr="00D07EF9">
        <w:trPr>
          <w:trHeight w:val="1995"/>
        </w:trPr>
        <w:tc>
          <w:tcPr>
            <w:cnfStyle w:val="001000000000" w:firstRow="0" w:lastRow="0" w:firstColumn="1" w:lastColumn="0" w:oddVBand="0" w:evenVBand="0" w:oddHBand="0" w:evenHBand="0" w:firstRowFirstColumn="0" w:firstRowLastColumn="0" w:lastRowFirstColumn="0" w:lastRowLastColumn="0"/>
            <w:tcW w:w="1890" w:type="dxa"/>
            <w:hideMark/>
          </w:tcPr>
          <w:p w14:paraId="0DB6D3CE"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PLSC 310 (California Politics and Local Government)</w:t>
            </w:r>
          </w:p>
        </w:tc>
        <w:tc>
          <w:tcPr>
            <w:tcW w:w="1350" w:type="dxa"/>
            <w:hideMark/>
          </w:tcPr>
          <w:p w14:paraId="39E83005"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Lezlee Ware</w:t>
            </w:r>
          </w:p>
        </w:tc>
        <w:tc>
          <w:tcPr>
            <w:tcW w:w="9360" w:type="dxa"/>
            <w:hideMark/>
          </w:tcPr>
          <w:p w14:paraId="1B8713C6" w14:textId="3B526E19"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The goal of this pathway is for students to consider complex social justice issues such as those related to power, race, religion, income, immigration status, gender, childhood, and sexual orientation from a variety of interdisciplinary perspectives.  This semester we will focus on the link between social justice and labor.  Students are challenged to think critically about what it means to create a just and equitable society that celebrates human diversity in our own time, and in the past, across cultures.  They will develop the critical framework for understanding and building a foundation for action and social change.</w:t>
            </w:r>
          </w:p>
        </w:tc>
      </w:tr>
      <w:tr w:rsidR="00802DEC" w:rsidRPr="00802DEC" w14:paraId="6A948E0E" w14:textId="77777777" w:rsidTr="000C3B88">
        <w:trPr>
          <w:cnfStyle w:val="000000100000" w:firstRow="0" w:lastRow="0" w:firstColumn="0" w:lastColumn="0" w:oddVBand="0" w:evenVBand="0" w:oddHBand="1" w:evenHBand="0" w:firstRowFirstColumn="0" w:firstRowLastColumn="0" w:lastRowFirstColumn="0" w:lastRowLastColumn="0"/>
          <w:trHeight w:val="1872"/>
        </w:trPr>
        <w:tc>
          <w:tcPr>
            <w:cnfStyle w:val="001000000000" w:firstRow="0" w:lastRow="0" w:firstColumn="1" w:lastColumn="0" w:oddVBand="0" w:evenVBand="0" w:oddHBand="0" w:evenHBand="0" w:firstRowFirstColumn="0" w:firstRowLastColumn="0" w:lastRowFirstColumn="0" w:lastRowLastColumn="0"/>
            <w:tcW w:w="1890" w:type="dxa"/>
            <w:hideMark/>
          </w:tcPr>
          <w:p w14:paraId="48760105" w14:textId="52F448AC"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SPAN 131/132/140 (Intermediate Spanish I</w:t>
            </w:r>
            <w:r w:rsidR="000C3B88">
              <w:rPr>
                <w:rFonts w:eastAsia="Times New Roman" w:cs="Arial"/>
                <w:color w:val="000000"/>
                <w:szCs w:val="22"/>
              </w:rPr>
              <w:t>/</w:t>
            </w:r>
            <w:r w:rsidRPr="00802DEC">
              <w:rPr>
                <w:rFonts w:eastAsia="Times New Roman" w:cs="Arial"/>
                <w:color w:val="000000"/>
                <w:szCs w:val="22"/>
              </w:rPr>
              <w:t>II; Advanced Intermediate Spanish)</w:t>
            </w:r>
          </w:p>
        </w:tc>
        <w:tc>
          <w:tcPr>
            <w:tcW w:w="1350" w:type="dxa"/>
            <w:hideMark/>
          </w:tcPr>
          <w:p w14:paraId="7211F741"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Sarah Harmon</w:t>
            </w:r>
          </w:p>
        </w:tc>
        <w:tc>
          <w:tcPr>
            <w:tcW w:w="9360" w:type="dxa"/>
            <w:hideMark/>
          </w:tcPr>
          <w:p w14:paraId="36475BAB" w14:textId="77777777" w:rsidR="00802DEC" w:rsidRPr="00802DEC" w:rsidRDefault="00802DEC" w:rsidP="00D07EF9">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 xml:space="preserve">Throughout this course we will discuss aspects of social relevance in a variety of Spanish-speaking countries, including but not limited to social norms, political entities, socio-economic realities and social justice and injustice in Spanish-speaking countries. You will be asked questions during class discussions when applicable, as well as in your ‘Pregunta de la Semana’ that may reflect these topics; you can include these items in your cultural presentation at the end of the semester. </w:t>
            </w:r>
          </w:p>
        </w:tc>
      </w:tr>
      <w:tr w:rsidR="00802DEC" w:rsidRPr="00802DEC" w14:paraId="532C4EA0" w14:textId="77777777" w:rsidTr="00D07EF9">
        <w:trPr>
          <w:trHeight w:val="1425"/>
        </w:trPr>
        <w:tc>
          <w:tcPr>
            <w:cnfStyle w:val="001000000000" w:firstRow="0" w:lastRow="0" w:firstColumn="1" w:lastColumn="0" w:oddVBand="0" w:evenVBand="0" w:oddHBand="0" w:evenHBand="0" w:firstRowFirstColumn="0" w:firstRowLastColumn="0" w:lastRowFirstColumn="0" w:lastRowLastColumn="0"/>
            <w:tcW w:w="1890" w:type="dxa"/>
            <w:hideMark/>
          </w:tcPr>
          <w:p w14:paraId="601A8E3E" w14:textId="77777777" w:rsidR="00802DEC" w:rsidRPr="00802DEC" w:rsidRDefault="00802DEC" w:rsidP="00D07EF9">
            <w:pPr>
              <w:spacing w:before="40" w:after="40"/>
              <w:rPr>
                <w:rFonts w:eastAsia="Times New Roman" w:cs="Arial"/>
                <w:color w:val="000000"/>
                <w:szCs w:val="22"/>
              </w:rPr>
            </w:pPr>
            <w:r w:rsidRPr="00802DEC">
              <w:rPr>
                <w:rFonts w:eastAsia="Times New Roman" w:cs="Arial"/>
                <w:color w:val="000000"/>
                <w:szCs w:val="22"/>
              </w:rPr>
              <w:t>SPAN 145 (Spanish Conversation through Film)</w:t>
            </w:r>
          </w:p>
        </w:tc>
        <w:tc>
          <w:tcPr>
            <w:tcW w:w="1350" w:type="dxa"/>
            <w:hideMark/>
          </w:tcPr>
          <w:p w14:paraId="75CFD496"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Sarah Harmon</w:t>
            </w:r>
          </w:p>
        </w:tc>
        <w:tc>
          <w:tcPr>
            <w:tcW w:w="9360" w:type="dxa"/>
            <w:hideMark/>
          </w:tcPr>
          <w:p w14:paraId="411B6631" w14:textId="77777777" w:rsidR="00802DEC" w:rsidRPr="00802DEC" w:rsidRDefault="00802DEC" w:rsidP="00D07EF9">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802DEC">
              <w:rPr>
                <w:rFonts w:eastAsia="Times New Roman" w:cs="Arial"/>
                <w:color w:val="000000"/>
                <w:szCs w:val="22"/>
              </w:rPr>
              <w:t xml:space="preserve">Throughout this course we will discuss aspects of social relevance in a variety of Spanish-speaking countries, including but not limited to social norms, political entities, linguistic policies, socio-economic realities and social justice and injustice in Spanish-speaking countries. You will be asked questions during class discussions when applicable, as well as in your weekly journal that may reflect these topics; you can include these items in your cultural presentation at the end of the semester. </w:t>
            </w:r>
          </w:p>
        </w:tc>
      </w:tr>
    </w:tbl>
    <w:p w14:paraId="0B221AF4" w14:textId="352926EF" w:rsidR="00802DEC" w:rsidRPr="00FE1315" w:rsidRDefault="00802DEC" w:rsidP="00802DEC">
      <w:pPr>
        <w:pStyle w:val="Heading2"/>
        <w:rPr>
          <w:sz w:val="32"/>
          <w:szCs w:val="32"/>
        </w:rPr>
      </w:pPr>
      <w:r w:rsidRPr="00FE1315">
        <w:rPr>
          <w:sz w:val="32"/>
          <w:szCs w:val="32"/>
        </w:rPr>
        <w:lastRenderedPageBreak/>
        <w:t>Sustainability</w:t>
      </w:r>
    </w:p>
    <w:tbl>
      <w:tblPr>
        <w:tblStyle w:val="ListTable2Accent1"/>
        <w:tblW w:w="12600" w:type="dxa"/>
        <w:tblLook w:val="04A0" w:firstRow="1" w:lastRow="0" w:firstColumn="1" w:lastColumn="0" w:noHBand="0" w:noVBand="1"/>
      </w:tblPr>
      <w:tblGrid>
        <w:gridCol w:w="1890"/>
        <w:gridCol w:w="1440"/>
        <w:gridCol w:w="9270"/>
      </w:tblGrid>
      <w:tr w:rsidR="00734797" w:rsidRPr="00734797" w14:paraId="7752E8FA" w14:textId="77777777" w:rsidTr="00734797">
        <w:trPr>
          <w:cnfStyle w:val="100000000000" w:firstRow="1" w:lastRow="0" w:firstColumn="0" w:lastColumn="0" w:oddVBand="0" w:evenVBand="0" w:oddHBand="0" w:evenHBand="0" w:firstRowFirstColumn="0" w:firstRowLastColumn="0" w:lastRowFirstColumn="0" w:lastRowLastColumn="0"/>
          <w:trHeight w:val="1995"/>
        </w:trPr>
        <w:tc>
          <w:tcPr>
            <w:cnfStyle w:val="001000000000" w:firstRow="0" w:lastRow="0" w:firstColumn="1" w:lastColumn="0" w:oddVBand="0" w:evenVBand="0" w:oddHBand="0" w:evenHBand="0" w:firstRowFirstColumn="0" w:firstRowLastColumn="0" w:lastRowFirstColumn="0" w:lastRowLastColumn="0"/>
            <w:tcW w:w="1890" w:type="dxa"/>
            <w:hideMark/>
          </w:tcPr>
          <w:p w14:paraId="1E566A3D"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t>ART 101 (Ancient, Classical, and Medieval Art History)</w:t>
            </w:r>
          </w:p>
        </w:tc>
        <w:tc>
          <w:tcPr>
            <w:tcW w:w="1440" w:type="dxa"/>
            <w:hideMark/>
          </w:tcPr>
          <w:p w14:paraId="74366074" w14:textId="77777777" w:rsidR="00734797" w:rsidRPr="00734797" w:rsidRDefault="00734797" w:rsidP="00734797">
            <w:pPr>
              <w:spacing w:before="40" w:after="40"/>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szCs w:val="22"/>
              </w:rPr>
            </w:pPr>
            <w:r w:rsidRPr="00734797">
              <w:rPr>
                <w:rFonts w:eastAsia="Times New Roman" w:cs="Arial"/>
                <w:b w:val="0"/>
                <w:color w:val="000000"/>
                <w:szCs w:val="22"/>
              </w:rPr>
              <w:t>Denise Erickson</w:t>
            </w:r>
          </w:p>
        </w:tc>
        <w:tc>
          <w:tcPr>
            <w:tcW w:w="9270" w:type="dxa"/>
            <w:hideMark/>
          </w:tcPr>
          <w:p w14:paraId="651F281E" w14:textId="3616EE4B" w:rsidR="00734797" w:rsidRPr="00734797" w:rsidRDefault="00734797" w:rsidP="00734797">
            <w:pPr>
              <w:spacing w:before="40" w:after="40"/>
              <w:cnfStyle w:val="100000000000" w:firstRow="1" w:lastRow="0" w:firstColumn="0" w:lastColumn="0" w:oddVBand="0" w:evenVBand="0" w:oddHBand="0" w:evenHBand="0" w:firstRowFirstColumn="0" w:firstRowLastColumn="0" w:lastRowFirstColumn="0" w:lastRowLastColumn="0"/>
              <w:rPr>
                <w:rFonts w:eastAsia="Times New Roman" w:cs="Arial"/>
                <w:b w:val="0"/>
                <w:color w:val="000000"/>
                <w:szCs w:val="22"/>
              </w:rPr>
            </w:pPr>
            <w:r w:rsidRPr="00734797">
              <w:rPr>
                <w:rFonts w:eastAsia="Times New Roman" w:cs="Arial"/>
                <w:b w:val="0"/>
                <w:color w:val="000000"/>
                <w:szCs w:val="22"/>
              </w:rPr>
              <w:t>In Art 101 we will be looking at how ancient cultures relied upon the resources and limitations in their environment to craft and develop technologies for architect</w:t>
            </w:r>
            <w:r w:rsidR="00646796">
              <w:rPr>
                <w:rFonts w:eastAsia="Times New Roman" w:cs="Arial"/>
                <w:b w:val="0"/>
                <w:color w:val="000000"/>
                <w:szCs w:val="22"/>
              </w:rPr>
              <w:t>ure and other art forms. We</w:t>
            </w:r>
            <w:r w:rsidRPr="00734797">
              <w:rPr>
                <w:rFonts w:eastAsia="Times New Roman" w:cs="Arial"/>
                <w:b w:val="0"/>
                <w:color w:val="000000"/>
                <w:szCs w:val="22"/>
              </w:rPr>
              <w:t xml:space="preserve"> will discuss the impact of the growth of the human population on their environment, such as the de-forestation of western Europe, and the effect of climate change (the Minoans) on the movement of large groups of peoples which caused great social changes and political upheaval. The subject of water and the engineering resources of ancient cultures (the</w:t>
            </w:r>
            <w:r w:rsidR="00646796">
              <w:rPr>
                <w:rFonts w:eastAsia="Times New Roman" w:cs="Arial"/>
                <w:b w:val="0"/>
                <w:color w:val="000000"/>
                <w:szCs w:val="22"/>
              </w:rPr>
              <w:t xml:space="preserve"> Persians and the Romans) are</w:t>
            </w:r>
            <w:r w:rsidRPr="00734797">
              <w:rPr>
                <w:rFonts w:eastAsia="Times New Roman" w:cs="Arial"/>
                <w:b w:val="0"/>
                <w:color w:val="000000"/>
                <w:szCs w:val="22"/>
              </w:rPr>
              <w:t xml:space="preserve"> important theme</w:t>
            </w:r>
            <w:r w:rsidR="00646796">
              <w:rPr>
                <w:rFonts w:eastAsia="Times New Roman" w:cs="Arial"/>
                <w:b w:val="0"/>
                <w:color w:val="000000"/>
                <w:szCs w:val="22"/>
              </w:rPr>
              <w:t>s</w:t>
            </w:r>
            <w:r w:rsidRPr="00734797">
              <w:rPr>
                <w:rFonts w:eastAsia="Times New Roman" w:cs="Arial"/>
                <w:b w:val="0"/>
                <w:color w:val="000000"/>
                <w:szCs w:val="22"/>
              </w:rPr>
              <w:t xml:space="preserve"> in this class. </w:t>
            </w:r>
          </w:p>
        </w:tc>
      </w:tr>
      <w:tr w:rsidR="00734797" w:rsidRPr="00734797" w14:paraId="6AA65EBC" w14:textId="77777777" w:rsidTr="00734797">
        <w:trPr>
          <w:cnfStyle w:val="000000100000" w:firstRow="0" w:lastRow="0" w:firstColumn="0" w:lastColumn="0" w:oddVBand="0" w:evenVBand="0" w:oddHBand="1" w:evenHBand="0" w:firstRowFirstColumn="0" w:firstRowLastColumn="0" w:lastRowFirstColumn="0" w:lastRowLastColumn="0"/>
          <w:trHeight w:val="1710"/>
        </w:trPr>
        <w:tc>
          <w:tcPr>
            <w:cnfStyle w:val="001000000000" w:firstRow="0" w:lastRow="0" w:firstColumn="1" w:lastColumn="0" w:oddVBand="0" w:evenVBand="0" w:oddHBand="0" w:evenHBand="0" w:firstRowFirstColumn="0" w:firstRowLastColumn="0" w:lastRowFirstColumn="0" w:lastRowLastColumn="0"/>
            <w:tcW w:w="1890" w:type="dxa"/>
            <w:hideMark/>
          </w:tcPr>
          <w:p w14:paraId="42C0B61B"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t>ART 104 (History of Modern Art)</w:t>
            </w:r>
          </w:p>
        </w:tc>
        <w:tc>
          <w:tcPr>
            <w:tcW w:w="1440" w:type="dxa"/>
            <w:hideMark/>
          </w:tcPr>
          <w:p w14:paraId="76170A3D" w14:textId="77777777"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Denise Erickson</w:t>
            </w:r>
          </w:p>
        </w:tc>
        <w:tc>
          <w:tcPr>
            <w:tcW w:w="9270" w:type="dxa"/>
            <w:hideMark/>
          </w:tcPr>
          <w:p w14:paraId="6CF0BD98" w14:textId="72B47AE1"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szCs w:val="22"/>
              </w:rPr>
            </w:pPr>
            <w:r w:rsidRPr="00734797">
              <w:rPr>
                <w:rFonts w:eastAsia="Times New Roman" w:cs="Arial"/>
                <w:szCs w:val="22"/>
              </w:rPr>
              <w:t xml:space="preserve">Environmental Art will be discussed in this course as both an artistic issue (how to use the earth and the changes of time and season), as well as a matter of social concern about how earthworks affect the sustainability of resources over time.  Andy </w:t>
            </w:r>
            <w:proofErr w:type="gramStart"/>
            <w:r w:rsidRPr="00734797">
              <w:rPr>
                <w:rFonts w:eastAsia="Times New Roman" w:cs="Arial"/>
                <w:szCs w:val="22"/>
              </w:rPr>
              <w:t>G</w:t>
            </w:r>
            <w:r w:rsidR="00646796">
              <w:rPr>
                <w:rFonts w:eastAsia="Times New Roman" w:cs="Arial"/>
                <w:szCs w:val="22"/>
              </w:rPr>
              <w:t xml:space="preserve">oldsworthy’s </w:t>
            </w:r>
            <w:r w:rsidRPr="00734797">
              <w:rPr>
                <w:rFonts w:eastAsia="Times New Roman" w:cs="Arial"/>
                <w:szCs w:val="22"/>
              </w:rPr>
              <w:t xml:space="preserve"> environmental</w:t>
            </w:r>
            <w:proofErr w:type="gramEnd"/>
            <w:r w:rsidRPr="00734797">
              <w:rPr>
                <w:rFonts w:eastAsia="Times New Roman" w:cs="Arial"/>
                <w:szCs w:val="22"/>
              </w:rPr>
              <w:t xml:space="preserve"> sculptures in our area will be used as examples of how the artist’s desire to create, and his/her conscience about the environmental imprint they leave behind, impacts the course of individual expression balanced by social awareness.</w:t>
            </w:r>
          </w:p>
        </w:tc>
      </w:tr>
      <w:tr w:rsidR="00734797" w:rsidRPr="00734797" w14:paraId="73F74FFD" w14:textId="77777777" w:rsidTr="00734797">
        <w:trPr>
          <w:trHeight w:val="570"/>
        </w:trPr>
        <w:tc>
          <w:tcPr>
            <w:cnfStyle w:val="001000000000" w:firstRow="0" w:lastRow="0" w:firstColumn="1" w:lastColumn="0" w:oddVBand="0" w:evenVBand="0" w:oddHBand="0" w:evenHBand="0" w:firstRowFirstColumn="0" w:firstRowLastColumn="0" w:lastRowFirstColumn="0" w:lastRowLastColumn="0"/>
            <w:tcW w:w="1890" w:type="dxa"/>
            <w:hideMark/>
          </w:tcPr>
          <w:p w14:paraId="0B8D4F81"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t>ASTR 100 (Introduction to Astronomy)</w:t>
            </w:r>
          </w:p>
        </w:tc>
        <w:tc>
          <w:tcPr>
            <w:tcW w:w="1440" w:type="dxa"/>
            <w:hideMark/>
          </w:tcPr>
          <w:p w14:paraId="472FCF58" w14:textId="77777777" w:rsidR="00734797" w:rsidRPr="00734797" w:rsidRDefault="00734797" w:rsidP="00734797">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Attila Elteto</w:t>
            </w:r>
          </w:p>
        </w:tc>
        <w:tc>
          <w:tcPr>
            <w:tcW w:w="9270" w:type="dxa"/>
            <w:hideMark/>
          </w:tcPr>
          <w:p w14:paraId="103247C0" w14:textId="0AD86338" w:rsidR="00734797" w:rsidRPr="00734797" w:rsidRDefault="00734797" w:rsidP="00734797">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AST 100, Introduction to Astronomy has students learn about the physical science governing the universe, including planets, and more specifically relevant to humanity, planetary atmospheres and the greenhouse effect. It encourages students to learn how to question facts (what do we know? how do we know it? what does it mean?). It encourages students to listen to what science experts say using these questions, rather than what politician, pundit, or the media interpretations of the facts are.</w:t>
            </w:r>
            <w:r>
              <w:rPr>
                <w:rFonts w:eastAsia="Times New Roman" w:cs="Arial"/>
                <w:color w:val="000000"/>
                <w:szCs w:val="22"/>
              </w:rPr>
              <w:t xml:space="preserve"> </w:t>
            </w:r>
            <w:r w:rsidRPr="00734797">
              <w:rPr>
                <w:rFonts w:eastAsia="Times New Roman" w:cs="Arial"/>
                <w:color w:val="000000"/>
                <w:szCs w:val="22"/>
              </w:rPr>
              <w:t>A bonus lecture specific to the science of global warming is also included.</w:t>
            </w:r>
          </w:p>
        </w:tc>
      </w:tr>
      <w:tr w:rsidR="00734797" w:rsidRPr="00734797" w14:paraId="5CD3B6BE" w14:textId="77777777" w:rsidTr="00734797">
        <w:trPr>
          <w:cnfStyle w:val="000000100000" w:firstRow="0" w:lastRow="0" w:firstColumn="0" w:lastColumn="0" w:oddVBand="0" w:evenVBand="0" w:oddHBand="1" w:evenHBand="0" w:firstRowFirstColumn="0" w:firstRowLastColumn="0" w:lastRowFirstColumn="0" w:lastRowLastColumn="0"/>
          <w:trHeight w:val="1140"/>
        </w:trPr>
        <w:tc>
          <w:tcPr>
            <w:cnfStyle w:val="001000000000" w:firstRow="0" w:lastRow="0" w:firstColumn="1" w:lastColumn="0" w:oddVBand="0" w:evenVBand="0" w:oddHBand="0" w:evenHBand="0" w:firstRowFirstColumn="0" w:firstRowLastColumn="0" w:lastRowFirstColumn="0" w:lastRowLastColumn="0"/>
            <w:tcW w:w="1890" w:type="dxa"/>
            <w:hideMark/>
          </w:tcPr>
          <w:p w14:paraId="71C4826F"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t>BIOL 100 (Introduction to the Life Sciences)</w:t>
            </w:r>
          </w:p>
        </w:tc>
        <w:tc>
          <w:tcPr>
            <w:tcW w:w="1440" w:type="dxa"/>
            <w:hideMark/>
          </w:tcPr>
          <w:p w14:paraId="1ACCE153" w14:textId="77777777"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Barry Thomson</w:t>
            </w:r>
          </w:p>
        </w:tc>
        <w:tc>
          <w:tcPr>
            <w:tcW w:w="9270" w:type="dxa"/>
            <w:hideMark/>
          </w:tcPr>
          <w:p w14:paraId="40ECF083" w14:textId="77777777"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This class is part of the Sustainability GE Pathway for GE classes at Cañada College. My college degree is Sustainable Land Management, and even though the required textbook does not have a chapter on sustainability, we will incorporate numerous activities, including homework and the Sustainable Living App project, throughout the semester.</w:t>
            </w:r>
          </w:p>
        </w:tc>
      </w:tr>
      <w:tr w:rsidR="00734797" w:rsidRPr="00734797" w14:paraId="70BB8E38" w14:textId="77777777" w:rsidTr="00734797">
        <w:trPr>
          <w:trHeight w:val="1440"/>
        </w:trPr>
        <w:tc>
          <w:tcPr>
            <w:cnfStyle w:val="001000000000" w:firstRow="0" w:lastRow="0" w:firstColumn="1" w:lastColumn="0" w:oddVBand="0" w:evenVBand="0" w:oddHBand="0" w:evenHBand="0" w:firstRowFirstColumn="0" w:firstRowLastColumn="0" w:lastRowFirstColumn="0" w:lastRowLastColumn="0"/>
            <w:tcW w:w="1890" w:type="dxa"/>
            <w:hideMark/>
          </w:tcPr>
          <w:p w14:paraId="4116791B"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t>ECE 249 Leadership</w:t>
            </w:r>
          </w:p>
        </w:tc>
        <w:tc>
          <w:tcPr>
            <w:tcW w:w="1440" w:type="dxa"/>
            <w:hideMark/>
          </w:tcPr>
          <w:p w14:paraId="1630D1BC" w14:textId="77777777" w:rsidR="00734797" w:rsidRPr="00734797" w:rsidRDefault="00734797" w:rsidP="00734797">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Patricia Hall</w:t>
            </w:r>
          </w:p>
        </w:tc>
        <w:tc>
          <w:tcPr>
            <w:tcW w:w="9270" w:type="dxa"/>
            <w:hideMark/>
          </w:tcPr>
          <w:p w14:paraId="69EAD35D" w14:textId="77777777" w:rsidR="00734797" w:rsidRPr="00734797" w:rsidRDefault="00734797" w:rsidP="00734797">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Leadership is examined from both theoretical and practical perspectives through the Phi Theta Kappa (PTK) Leadership Development Studies curriculum. This course is designed to provide emerging and existing leaders the opportunity to explore the exercise of leadership and to develop and improve their skills for the exercise of leadership. The course integrates readings from the humanities, experiential exercises, films, and contemporary readings on leadership. Skills and knowledge acquired can be applied to personal and professional pursuits in social and environmental justice advocacy.</w:t>
            </w:r>
          </w:p>
        </w:tc>
      </w:tr>
      <w:tr w:rsidR="00734797" w:rsidRPr="00734797" w14:paraId="201E59F8" w14:textId="77777777" w:rsidTr="00734797">
        <w:trPr>
          <w:cnfStyle w:val="000000100000" w:firstRow="0" w:lastRow="0" w:firstColumn="0" w:lastColumn="0" w:oddVBand="0" w:evenVBand="0" w:oddHBand="1" w:evenHBand="0" w:firstRowFirstColumn="0" w:firstRowLastColumn="0" w:lastRowFirstColumn="0" w:lastRowLastColumn="0"/>
          <w:trHeight w:val="2448"/>
        </w:trPr>
        <w:tc>
          <w:tcPr>
            <w:cnfStyle w:val="001000000000" w:firstRow="0" w:lastRow="0" w:firstColumn="1" w:lastColumn="0" w:oddVBand="0" w:evenVBand="0" w:oddHBand="0" w:evenHBand="0" w:firstRowFirstColumn="0" w:firstRowLastColumn="0" w:lastRowFirstColumn="0" w:lastRowLastColumn="0"/>
            <w:tcW w:w="1890" w:type="dxa"/>
            <w:hideMark/>
          </w:tcPr>
          <w:p w14:paraId="664BE8B6"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lastRenderedPageBreak/>
              <w:t>ENVS 115 (Environmental Science)</w:t>
            </w:r>
          </w:p>
        </w:tc>
        <w:tc>
          <w:tcPr>
            <w:tcW w:w="1440" w:type="dxa"/>
            <w:hideMark/>
          </w:tcPr>
          <w:p w14:paraId="092B7D64" w14:textId="77777777"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Susan Mahoney</w:t>
            </w:r>
          </w:p>
        </w:tc>
        <w:tc>
          <w:tcPr>
            <w:tcW w:w="9270" w:type="dxa"/>
            <w:hideMark/>
          </w:tcPr>
          <w:p w14:paraId="64760EB0" w14:textId="355EDE69"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Sustainability is the central theme of the class. We explore environmental issues from a scientific perspective and explore how individuals, communities, and nations can reduce resource use and pollution to levels that will allow the Earth system to support humans indefinitely. Early in the course we calculate our individual ecological footprint, and later we analyze our household water use, energy use, and solid waste generation as we look for innovative local, regional, and global solutions. The course is not focused on the "gloom and doom" of environmental issues, but instead we look for creative ways to solve environmental issues, while simultaneously building community, promoting social justice, and creating economic prosperity.</w:t>
            </w:r>
          </w:p>
        </w:tc>
      </w:tr>
      <w:tr w:rsidR="00734797" w:rsidRPr="00734797" w14:paraId="14FEEB59" w14:textId="77777777" w:rsidTr="00734797">
        <w:trPr>
          <w:trHeight w:val="1710"/>
        </w:trPr>
        <w:tc>
          <w:tcPr>
            <w:cnfStyle w:val="001000000000" w:firstRow="0" w:lastRow="0" w:firstColumn="1" w:lastColumn="0" w:oddVBand="0" w:evenVBand="0" w:oddHBand="0" w:evenHBand="0" w:firstRowFirstColumn="0" w:firstRowLastColumn="0" w:lastRowFirstColumn="0" w:lastRowLastColumn="0"/>
            <w:tcW w:w="1890" w:type="dxa"/>
            <w:hideMark/>
          </w:tcPr>
          <w:p w14:paraId="476E4560"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t>HIST 106 (World History II)</w:t>
            </w:r>
          </w:p>
        </w:tc>
        <w:tc>
          <w:tcPr>
            <w:tcW w:w="1440" w:type="dxa"/>
            <w:hideMark/>
          </w:tcPr>
          <w:p w14:paraId="6C685C3F" w14:textId="77777777" w:rsidR="00734797" w:rsidRPr="00734797" w:rsidRDefault="00734797" w:rsidP="00734797">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Alison Field</w:t>
            </w:r>
          </w:p>
        </w:tc>
        <w:tc>
          <w:tcPr>
            <w:tcW w:w="9270" w:type="dxa"/>
            <w:hideMark/>
          </w:tcPr>
          <w:p w14:paraId="7AA7DE0F" w14:textId="13873073" w:rsidR="00734797" w:rsidRPr="00734797" w:rsidRDefault="00734797" w:rsidP="00734797">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As a discipline, world history and environmental history have developed hand-in-hand. That's how we approach the class. We begin by discussing "big history" and how an environmental perspective challenges us to move away from a solely anthropocentric view of the world. In the units on the rise of industrialization and consumerism, we explore some of the un-sustainable practices that developed as part of the "rush" for progress. In the post-WWII era we focus on global cooperation (or lack thereof) around both human rights and climate change.</w:t>
            </w:r>
          </w:p>
        </w:tc>
      </w:tr>
      <w:tr w:rsidR="00734797" w:rsidRPr="00734797" w14:paraId="7E403D48" w14:textId="77777777" w:rsidTr="0073479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90" w:type="dxa"/>
            <w:hideMark/>
          </w:tcPr>
          <w:p w14:paraId="12977F97"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t>Math 225 (Path to Calculus)</w:t>
            </w:r>
          </w:p>
        </w:tc>
        <w:tc>
          <w:tcPr>
            <w:tcW w:w="1440" w:type="dxa"/>
            <w:hideMark/>
          </w:tcPr>
          <w:p w14:paraId="5906778E" w14:textId="77777777"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Michael Hoffman</w:t>
            </w:r>
          </w:p>
        </w:tc>
        <w:tc>
          <w:tcPr>
            <w:tcW w:w="9270" w:type="dxa"/>
            <w:hideMark/>
          </w:tcPr>
          <w:p w14:paraId="68256929" w14:textId="77777777"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Sustainability: we look at problems related to solar power and how mathematics intersects with the ecological and social issues involved with solar power.</w:t>
            </w:r>
          </w:p>
        </w:tc>
      </w:tr>
      <w:tr w:rsidR="00734797" w:rsidRPr="00734797" w14:paraId="39177567" w14:textId="77777777" w:rsidTr="00734797">
        <w:trPr>
          <w:trHeight w:val="1425"/>
        </w:trPr>
        <w:tc>
          <w:tcPr>
            <w:cnfStyle w:val="001000000000" w:firstRow="0" w:lastRow="0" w:firstColumn="1" w:lastColumn="0" w:oddVBand="0" w:evenVBand="0" w:oddHBand="0" w:evenHBand="0" w:firstRowFirstColumn="0" w:firstRowLastColumn="0" w:lastRowFirstColumn="0" w:lastRowLastColumn="0"/>
            <w:tcW w:w="1890" w:type="dxa"/>
            <w:hideMark/>
          </w:tcPr>
          <w:p w14:paraId="017BE8DF"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t>MUS 240 (Music of the Americas)</w:t>
            </w:r>
          </w:p>
        </w:tc>
        <w:tc>
          <w:tcPr>
            <w:tcW w:w="1440" w:type="dxa"/>
            <w:hideMark/>
          </w:tcPr>
          <w:p w14:paraId="09A17447" w14:textId="77777777" w:rsidR="00734797" w:rsidRPr="00734797" w:rsidRDefault="00734797" w:rsidP="00734797">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David Meckler</w:t>
            </w:r>
          </w:p>
        </w:tc>
        <w:tc>
          <w:tcPr>
            <w:tcW w:w="9270" w:type="dxa"/>
            <w:hideMark/>
          </w:tcPr>
          <w:p w14:paraId="11F6834A" w14:textId="77777777" w:rsidR="00734797" w:rsidRPr="00734797" w:rsidRDefault="00734797" w:rsidP="00734797">
            <w:pPr>
              <w:spacing w:before="40" w:after="40"/>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MUS 240 Music of the Americas often explores the relationship of musical resources to the natural and built environment, such as armadillo shells substituting for scarce wood in Andean string instruments, or discarded steel drums being hammered into musical service. The frequent narrative of a lower class music becoming the pride of a nation is repeatedly heard in this class. Additionally, the many Latin influences on North American popular music are demonstrated.</w:t>
            </w:r>
          </w:p>
        </w:tc>
      </w:tr>
      <w:tr w:rsidR="00734797" w:rsidRPr="00734797" w14:paraId="4A4604F5" w14:textId="77777777" w:rsidTr="00734797">
        <w:trPr>
          <w:cnfStyle w:val="000000100000" w:firstRow="0" w:lastRow="0" w:firstColumn="0" w:lastColumn="0" w:oddVBand="0" w:evenVBand="0" w:oddHBand="1" w:evenHBand="0" w:firstRowFirstColumn="0" w:firstRowLastColumn="0" w:lastRowFirstColumn="0" w:lastRowLastColumn="0"/>
          <w:trHeight w:val="1710"/>
        </w:trPr>
        <w:tc>
          <w:tcPr>
            <w:cnfStyle w:val="001000000000" w:firstRow="0" w:lastRow="0" w:firstColumn="1" w:lastColumn="0" w:oddVBand="0" w:evenVBand="0" w:oddHBand="0" w:evenHBand="0" w:firstRowFirstColumn="0" w:firstRowLastColumn="0" w:lastRowFirstColumn="0" w:lastRowLastColumn="0"/>
            <w:tcW w:w="1890" w:type="dxa"/>
            <w:hideMark/>
          </w:tcPr>
          <w:p w14:paraId="0031800D" w14:textId="77777777" w:rsidR="00734797" w:rsidRPr="00734797" w:rsidRDefault="00734797" w:rsidP="00734797">
            <w:pPr>
              <w:spacing w:before="40" w:after="40"/>
              <w:rPr>
                <w:rFonts w:eastAsia="Times New Roman" w:cs="Arial"/>
                <w:color w:val="000000"/>
                <w:szCs w:val="22"/>
              </w:rPr>
            </w:pPr>
            <w:r w:rsidRPr="00734797">
              <w:rPr>
                <w:rFonts w:eastAsia="Times New Roman" w:cs="Arial"/>
                <w:color w:val="000000"/>
                <w:szCs w:val="22"/>
              </w:rPr>
              <w:t>PHIL 240 (Introduction to Ethics)</w:t>
            </w:r>
          </w:p>
        </w:tc>
        <w:tc>
          <w:tcPr>
            <w:tcW w:w="1440" w:type="dxa"/>
            <w:hideMark/>
          </w:tcPr>
          <w:p w14:paraId="060A21A2" w14:textId="77777777"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David Eck</w:t>
            </w:r>
          </w:p>
        </w:tc>
        <w:tc>
          <w:tcPr>
            <w:tcW w:w="9270" w:type="dxa"/>
            <w:hideMark/>
          </w:tcPr>
          <w:p w14:paraId="4DB8EC17" w14:textId="237A084C" w:rsidR="00734797" w:rsidRPr="00734797" w:rsidRDefault="00734797" w:rsidP="00734797">
            <w:pPr>
              <w:spacing w:before="40" w:after="40"/>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rPr>
            </w:pPr>
            <w:r w:rsidRPr="00734797">
              <w:rPr>
                <w:rFonts w:eastAsia="Times New Roman" w:cs="Arial"/>
                <w:color w:val="000000"/>
                <w:szCs w:val="22"/>
              </w:rPr>
              <w:t xml:space="preserve">In PHIL 240, we examine a range </w:t>
            </w:r>
            <w:r>
              <w:rPr>
                <w:rFonts w:eastAsia="Times New Roman" w:cs="Arial"/>
                <w:color w:val="000000"/>
                <w:szCs w:val="22"/>
              </w:rPr>
              <w:t xml:space="preserve">of </w:t>
            </w:r>
            <w:r w:rsidRPr="00734797">
              <w:rPr>
                <w:rFonts w:eastAsia="Times New Roman" w:cs="Arial"/>
                <w:color w:val="000000"/>
                <w:szCs w:val="22"/>
              </w:rPr>
              <w:t>ethical theories: including deontology, virtue ethics, utilitarianism, and the ethics of care. We spend at least one week on environment ethics: analyzing foundational questions, such as whether nature possesses instrumental or intrinsic value; the role of technology in addressing and exacerbating environmental problems. The final 2-3 weeks of the course focus on applied ethics issues; the specific topics are selected based on input from the students. Potential topics include world hunger, consumer ethics, animal rights, affirmative action, free speech, sexism, and racism.</w:t>
            </w:r>
          </w:p>
        </w:tc>
      </w:tr>
    </w:tbl>
    <w:p w14:paraId="06C781A9" w14:textId="77777777" w:rsidR="00802DEC" w:rsidRPr="00802DEC" w:rsidRDefault="00802DEC" w:rsidP="00802DEC"/>
    <w:sectPr w:rsidR="00802DEC" w:rsidRPr="00802DEC" w:rsidSect="00802DE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043"/>
    <w:rsid w:val="000C3B88"/>
    <w:rsid w:val="00156F5D"/>
    <w:rsid w:val="001F22B6"/>
    <w:rsid w:val="00273A4C"/>
    <w:rsid w:val="00342ADB"/>
    <w:rsid w:val="004F30A7"/>
    <w:rsid w:val="005334E3"/>
    <w:rsid w:val="005E6F4A"/>
    <w:rsid w:val="00646796"/>
    <w:rsid w:val="00700BA5"/>
    <w:rsid w:val="007044E1"/>
    <w:rsid w:val="00734797"/>
    <w:rsid w:val="007D5587"/>
    <w:rsid w:val="00802DEC"/>
    <w:rsid w:val="00822947"/>
    <w:rsid w:val="0083532B"/>
    <w:rsid w:val="00B44496"/>
    <w:rsid w:val="00D07EF9"/>
    <w:rsid w:val="00DB79E3"/>
    <w:rsid w:val="00E95043"/>
    <w:rsid w:val="00FE1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9A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0A7"/>
    <w:pPr>
      <w:spacing w:after="120"/>
    </w:pPr>
  </w:style>
  <w:style w:type="paragraph" w:styleId="Heading1">
    <w:name w:val="heading 1"/>
    <w:basedOn w:val="Normal"/>
    <w:next w:val="Normal"/>
    <w:link w:val="Heading1Char"/>
    <w:qFormat/>
    <w:rsid w:val="00822947"/>
    <w:pPr>
      <w:keepNext/>
      <w:keepLines/>
      <w:spacing w:before="240"/>
      <w:jc w:val="center"/>
      <w:outlineLvl w:val="0"/>
    </w:pPr>
    <w:rPr>
      <w:rFonts w:eastAsiaTheme="majorEastAsia" w:cstheme="majorBidi"/>
      <w:b/>
      <w:sz w:val="32"/>
      <w:szCs w:val="32"/>
    </w:rPr>
  </w:style>
  <w:style w:type="paragraph" w:styleId="Heading2">
    <w:name w:val="heading 2"/>
    <w:basedOn w:val="Normal"/>
    <w:next w:val="Normal"/>
    <w:link w:val="Heading2Char"/>
    <w:unhideWhenUsed/>
    <w:qFormat/>
    <w:rsid w:val="00822947"/>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DB79E3"/>
    <w:pPr>
      <w:keepNext/>
      <w:keepLines/>
      <w:spacing w:before="40"/>
      <w:outlineLvl w:val="2"/>
    </w:pPr>
    <w:rPr>
      <w:rFonts w:eastAsiaTheme="majorEastAsia"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947"/>
    <w:rPr>
      <w:rFonts w:ascii="Arial" w:eastAsiaTheme="majorEastAsia" w:hAnsi="Arial" w:cstheme="majorBidi"/>
      <w:b/>
      <w:sz w:val="32"/>
      <w:szCs w:val="32"/>
    </w:rPr>
  </w:style>
  <w:style w:type="character" w:customStyle="1" w:styleId="Heading2Char">
    <w:name w:val="Heading 2 Char"/>
    <w:basedOn w:val="DefaultParagraphFont"/>
    <w:link w:val="Heading2"/>
    <w:rsid w:val="00822947"/>
    <w:rPr>
      <w:rFonts w:ascii="Arial" w:eastAsiaTheme="majorEastAsia" w:hAnsi="Arial" w:cstheme="majorBidi"/>
      <w:b/>
      <w:sz w:val="28"/>
      <w:szCs w:val="26"/>
    </w:rPr>
  </w:style>
  <w:style w:type="character" w:customStyle="1" w:styleId="Heading3Char">
    <w:name w:val="Heading 3 Char"/>
    <w:basedOn w:val="DefaultParagraphFont"/>
    <w:link w:val="Heading3"/>
    <w:uiPriority w:val="9"/>
    <w:rsid w:val="00DB79E3"/>
    <w:rPr>
      <w:rFonts w:ascii="Arial" w:eastAsiaTheme="majorEastAsia" w:hAnsi="Arial" w:cstheme="majorBidi"/>
      <w:b/>
      <w:i/>
      <w:sz w:val="24"/>
      <w:szCs w:val="24"/>
    </w:rPr>
  </w:style>
  <w:style w:type="table" w:customStyle="1" w:styleId="ListTable2Accent1">
    <w:name w:val="List Table 2 Accent 1"/>
    <w:basedOn w:val="TableNormal"/>
    <w:uiPriority w:val="47"/>
    <w:rsid w:val="00D07EF9"/>
    <w:tblPr>
      <w:tblStyleRowBandSize w:val="1"/>
      <w:tblStyleColBandSize w:val="1"/>
      <w:tblBorders>
        <w:top w:val="single" w:sz="4" w:space="0" w:color="7FBB58" w:themeColor="accent1" w:themeTint="99"/>
        <w:bottom w:val="single" w:sz="4" w:space="0" w:color="7FBB58" w:themeColor="accent1" w:themeTint="99"/>
        <w:insideH w:val="single" w:sz="4" w:space="0" w:color="7FBB58"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E8C7" w:themeFill="accent1" w:themeFillTint="33"/>
      </w:tcPr>
    </w:tblStylePr>
    <w:tblStylePr w:type="band1Horz">
      <w:tblPr/>
      <w:tcPr>
        <w:shd w:val="clear" w:color="auto" w:fill="D4E8C7" w:themeFill="accent1" w:themeFillTint="33"/>
      </w:tcPr>
    </w:tblStylePr>
  </w:style>
  <w:style w:type="character" w:styleId="Hyperlink">
    <w:name w:val="Hyperlink"/>
    <w:basedOn w:val="DefaultParagraphFont"/>
    <w:uiPriority w:val="99"/>
    <w:unhideWhenUsed/>
    <w:rsid w:val="00D07EF9"/>
    <w:rPr>
      <w:color w:val="0563C1" w:themeColor="hyperlink"/>
      <w:u w:val="single"/>
    </w:rPr>
  </w:style>
  <w:style w:type="character" w:customStyle="1" w:styleId="UnresolvedMention">
    <w:name w:val="Unresolved Mention"/>
    <w:basedOn w:val="DefaultParagraphFont"/>
    <w:uiPriority w:val="99"/>
    <w:semiHidden/>
    <w:unhideWhenUsed/>
    <w:rsid w:val="00D07EF9"/>
    <w:rPr>
      <w:color w:val="605E5C"/>
      <w:shd w:val="clear" w:color="auto" w:fill="E1DFDD"/>
    </w:rPr>
  </w:style>
  <w:style w:type="table" w:customStyle="1" w:styleId="GridTable1LightAccent1">
    <w:name w:val="Grid Table 1 Light Accent 1"/>
    <w:basedOn w:val="TableNormal"/>
    <w:uiPriority w:val="46"/>
    <w:rsid w:val="00734797"/>
    <w:tblPr>
      <w:tblStyleRowBandSize w:val="1"/>
      <w:tblStyleColBandSize w:val="1"/>
      <w:tblBorders>
        <w:top w:val="single" w:sz="4" w:space="0" w:color="AAD290" w:themeColor="accent1" w:themeTint="66"/>
        <w:left w:val="single" w:sz="4" w:space="0" w:color="AAD290" w:themeColor="accent1" w:themeTint="66"/>
        <w:bottom w:val="single" w:sz="4" w:space="0" w:color="AAD290" w:themeColor="accent1" w:themeTint="66"/>
        <w:right w:val="single" w:sz="4" w:space="0" w:color="AAD290" w:themeColor="accent1" w:themeTint="66"/>
        <w:insideH w:val="single" w:sz="4" w:space="0" w:color="AAD290" w:themeColor="accent1" w:themeTint="66"/>
        <w:insideV w:val="single" w:sz="4" w:space="0" w:color="AAD290" w:themeColor="accent1" w:themeTint="66"/>
      </w:tblBorders>
    </w:tblPr>
    <w:tblStylePr w:type="firstRow">
      <w:rPr>
        <w:b/>
        <w:bCs/>
      </w:rPr>
      <w:tblPr/>
      <w:tcPr>
        <w:tcBorders>
          <w:bottom w:val="single" w:sz="12" w:space="0" w:color="7FBB58" w:themeColor="accent1" w:themeTint="99"/>
        </w:tcBorders>
      </w:tcPr>
    </w:tblStylePr>
    <w:tblStylePr w:type="lastRow">
      <w:rPr>
        <w:b/>
        <w:bCs/>
      </w:rPr>
      <w:tblPr/>
      <w:tcPr>
        <w:tcBorders>
          <w:top w:val="double" w:sz="2" w:space="0" w:color="7FBB58" w:themeColor="accen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FE131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315"/>
    <w:rPr>
      <w:rFonts w:ascii="Tahoma" w:hAnsi="Tahoma" w:cs="Tahoma"/>
      <w:sz w:val="16"/>
      <w:szCs w:val="16"/>
    </w:rPr>
  </w:style>
  <w:style w:type="paragraph" w:styleId="NoSpacing">
    <w:name w:val="No Spacing"/>
    <w:basedOn w:val="Normal"/>
    <w:uiPriority w:val="1"/>
    <w:qFormat/>
    <w:rsid w:val="005334E3"/>
    <w:pPr>
      <w:spacing w:after="0"/>
    </w:pPr>
    <w:rPr>
      <w:rFonts w:ascii="Calibri" w:hAnsi="Calibri" w:cs="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0A7"/>
    <w:pPr>
      <w:spacing w:after="120"/>
    </w:pPr>
  </w:style>
  <w:style w:type="paragraph" w:styleId="Heading1">
    <w:name w:val="heading 1"/>
    <w:basedOn w:val="Normal"/>
    <w:next w:val="Normal"/>
    <w:link w:val="Heading1Char"/>
    <w:qFormat/>
    <w:rsid w:val="00822947"/>
    <w:pPr>
      <w:keepNext/>
      <w:keepLines/>
      <w:spacing w:before="240"/>
      <w:jc w:val="center"/>
      <w:outlineLvl w:val="0"/>
    </w:pPr>
    <w:rPr>
      <w:rFonts w:eastAsiaTheme="majorEastAsia" w:cstheme="majorBidi"/>
      <w:b/>
      <w:sz w:val="32"/>
      <w:szCs w:val="32"/>
    </w:rPr>
  </w:style>
  <w:style w:type="paragraph" w:styleId="Heading2">
    <w:name w:val="heading 2"/>
    <w:basedOn w:val="Normal"/>
    <w:next w:val="Normal"/>
    <w:link w:val="Heading2Char"/>
    <w:unhideWhenUsed/>
    <w:qFormat/>
    <w:rsid w:val="00822947"/>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DB79E3"/>
    <w:pPr>
      <w:keepNext/>
      <w:keepLines/>
      <w:spacing w:before="40"/>
      <w:outlineLvl w:val="2"/>
    </w:pPr>
    <w:rPr>
      <w:rFonts w:eastAsiaTheme="majorEastAsia"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947"/>
    <w:rPr>
      <w:rFonts w:ascii="Arial" w:eastAsiaTheme="majorEastAsia" w:hAnsi="Arial" w:cstheme="majorBidi"/>
      <w:b/>
      <w:sz w:val="32"/>
      <w:szCs w:val="32"/>
    </w:rPr>
  </w:style>
  <w:style w:type="character" w:customStyle="1" w:styleId="Heading2Char">
    <w:name w:val="Heading 2 Char"/>
    <w:basedOn w:val="DefaultParagraphFont"/>
    <w:link w:val="Heading2"/>
    <w:rsid w:val="00822947"/>
    <w:rPr>
      <w:rFonts w:ascii="Arial" w:eastAsiaTheme="majorEastAsia" w:hAnsi="Arial" w:cstheme="majorBidi"/>
      <w:b/>
      <w:sz w:val="28"/>
      <w:szCs w:val="26"/>
    </w:rPr>
  </w:style>
  <w:style w:type="character" w:customStyle="1" w:styleId="Heading3Char">
    <w:name w:val="Heading 3 Char"/>
    <w:basedOn w:val="DefaultParagraphFont"/>
    <w:link w:val="Heading3"/>
    <w:uiPriority w:val="9"/>
    <w:rsid w:val="00DB79E3"/>
    <w:rPr>
      <w:rFonts w:ascii="Arial" w:eastAsiaTheme="majorEastAsia" w:hAnsi="Arial" w:cstheme="majorBidi"/>
      <w:b/>
      <w:i/>
      <w:sz w:val="24"/>
      <w:szCs w:val="24"/>
    </w:rPr>
  </w:style>
  <w:style w:type="table" w:customStyle="1" w:styleId="ListTable2Accent1">
    <w:name w:val="List Table 2 Accent 1"/>
    <w:basedOn w:val="TableNormal"/>
    <w:uiPriority w:val="47"/>
    <w:rsid w:val="00D07EF9"/>
    <w:tblPr>
      <w:tblStyleRowBandSize w:val="1"/>
      <w:tblStyleColBandSize w:val="1"/>
      <w:tblBorders>
        <w:top w:val="single" w:sz="4" w:space="0" w:color="7FBB58" w:themeColor="accent1" w:themeTint="99"/>
        <w:bottom w:val="single" w:sz="4" w:space="0" w:color="7FBB58" w:themeColor="accent1" w:themeTint="99"/>
        <w:insideH w:val="single" w:sz="4" w:space="0" w:color="7FBB58"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E8C7" w:themeFill="accent1" w:themeFillTint="33"/>
      </w:tcPr>
    </w:tblStylePr>
    <w:tblStylePr w:type="band1Horz">
      <w:tblPr/>
      <w:tcPr>
        <w:shd w:val="clear" w:color="auto" w:fill="D4E8C7" w:themeFill="accent1" w:themeFillTint="33"/>
      </w:tcPr>
    </w:tblStylePr>
  </w:style>
  <w:style w:type="character" w:styleId="Hyperlink">
    <w:name w:val="Hyperlink"/>
    <w:basedOn w:val="DefaultParagraphFont"/>
    <w:uiPriority w:val="99"/>
    <w:unhideWhenUsed/>
    <w:rsid w:val="00D07EF9"/>
    <w:rPr>
      <w:color w:val="0563C1" w:themeColor="hyperlink"/>
      <w:u w:val="single"/>
    </w:rPr>
  </w:style>
  <w:style w:type="character" w:customStyle="1" w:styleId="UnresolvedMention">
    <w:name w:val="Unresolved Mention"/>
    <w:basedOn w:val="DefaultParagraphFont"/>
    <w:uiPriority w:val="99"/>
    <w:semiHidden/>
    <w:unhideWhenUsed/>
    <w:rsid w:val="00D07EF9"/>
    <w:rPr>
      <w:color w:val="605E5C"/>
      <w:shd w:val="clear" w:color="auto" w:fill="E1DFDD"/>
    </w:rPr>
  </w:style>
  <w:style w:type="table" w:customStyle="1" w:styleId="GridTable1LightAccent1">
    <w:name w:val="Grid Table 1 Light Accent 1"/>
    <w:basedOn w:val="TableNormal"/>
    <w:uiPriority w:val="46"/>
    <w:rsid w:val="00734797"/>
    <w:tblPr>
      <w:tblStyleRowBandSize w:val="1"/>
      <w:tblStyleColBandSize w:val="1"/>
      <w:tblBorders>
        <w:top w:val="single" w:sz="4" w:space="0" w:color="AAD290" w:themeColor="accent1" w:themeTint="66"/>
        <w:left w:val="single" w:sz="4" w:space="0" w:color="AAD290" w:themeColor="accent1" w:themeTint="66"/>
        <w:bottom w:val="single" w:sz="4" w:space="0" w:color="AAD290" w:themeColor="accent1" w:themeTint="66"/>
        <w:right w:val="single" w:sz="4" w:space="0" w:color="AAD290" w:themeColor="accent1" w:themeTint="66"/>
        <w:insideH w:val="single" w:sz="4" w:space="0" w:color="AAD290" w:themeColor="accent1" w:themeTint="66"/>
        <w:insideV w:val="single" w:sz="4" w:space="0" w:color="AAD290" w:themeColor="accent1" w:themeTint="66"/>
      </w:tblBorders>
    </w:tblPr>
    <w:tblStylePr w:type="firstRow">
      <w:rPr>
        <w:b/>
        <w:bCs/>
      </w:rPr>
      <w:tblPr/>
      <w:tcPr>
        <w:tcBorders>
          <w:bottom w:val="single" w:sz="12" w:space="0" w:color="7FBB58" w:themeColor="accent1" w:themeTint="99"/>
        </w:tcBorders>
      </w:tcPr>
    </w:tblStylePr>
    <w:tblStylePr w:type="lastRow">
      <w:rPr>
        <w:b/>
        <w:bCs/>
      </w:rPr>
      <w:tblPr/>
      <w:tcPr>
        <w:tcBorders>
          <w:top w:val="double" w:sz="2" w:space="0" w:color="7FBB58" w:themeColor="accen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FE131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315"/>
    <w:rPr>
      <w:rFonts w:ascii="Tahoma" w:hAnsi="Tahoma" w:cs="Tahoma"/>
      <w:sz w:val="16"/>
      <w:szCs w:val="16"/>
    </w:rPr>
  </w:style>
  <w:style w:type="paragraph" w:styleId="NoSpacing">
    <w:name w:val="No Spacing"/>
    <w:basedOn w:val="Normal"/>
    <w:uiPriority w:val="1"/>
    <w:qFormat/>
    <w:rsid w:val="005334E3"/>
    <w:pPr>
      <w:spacing w:after="0"/>
    </w:pPr>
    <w:rPr>
      <w:rFonts w:ascii="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325246">
      <w:bodyDiv w:val="1"/>
      <w:marLeft w:val="0"/>
      <w:marRight w:val="0"/>
      <w:marTop w:val="0"/>
      <w:marBottom w:val="0"/>
      <w:divBdr>
        <w:top w:val="none" w:sz="0" w:space="0" w:color="auto"/>
        <w:left w:val="none" w:sz="0" w:space="0" w:color="auto"/>
        <w:bottom w:val="none" w:sz="0" w:space="0" w:color="auto"/>
        <w:right w:val="none" w:sz="0" w:space="0" w:color="auto"/>
      </w:divBdr>
    </w:div>
    <w:div w:id="561717322">
      <w:bodyDiv w:val="1"/>
      <w:marLeft w:val="0"/>
      <w:marRight w:val="0"/>
      <w:marTop w:val="0"/>
      <w:marBottom w:val="0"/>
      <w:divBdr>
        <w:top w:val="none" w:sz="0" w:space="0" w:color="auto"/>
        <w:left w:val="none" w:sz="0" w:space="0" w:color="auto"/>
        <w:bottom w:val="none" w:sz="0" w:space="0" w:color="auto"/>
        <w:right w:val="none" w:sz="0" w:space="0" w:color="auto"/>
      </w:divBdr>
    </w:div>
    <w:div w:id="170578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cs.google.com/document/d/1ymDgvo5Oob1Vdid8LDMTVdWpLVH8t5VxNMN80RUI3Gw/edit?usp=shar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Cañada Colors">
      <a:dk1>
        <a:sysClr val="windowText" lastClr="000000"/>
      </a:dk1>
      <a:lt1>
        <a:sysClr val="window" lastClr="FFFFFF"/>
      </a:lt1>
      <a:dk2>
        <a:srgbClr val="44546A"/>
      </a:dk2>
      <a:lt2>
        <a:srgbClr val="E7E6E6"/>
      </a:lt2>
      <a:accent1>
        <a:srgbClr val="375623"/>
      </a:accent1>
      <a:accent2>
        <a:srgbClr val="538135"/>
      </a:accent2>
      <a:accent3>
        <a:srgbClr val="C5E0B3"/>
      </a:accent3>
      <a:accent4>
        <a:srgbClr val="FEE599"/>
      </a:accent4>
      <a:accent5>
        <a:srgbClr val="FFC000"/>
      </a:accent5>
      <a:accent6>
        <a:srgbClr val="ED7D31"/>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3001</Words>
  <Characters>17107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Harmon</dc:creator>
  <cp:lastModifiedBy>Denise</cp:lastModifiedBy>
  <cp:revision>8</cp:revision>
  <cp:lastPrinted>2018-07-28T20:59:00Z</cp:lastPrinted>
  <dcterms:created xsi:type="dcterms:W3CDTF">2018-07-28T21:10:00Z</dcterms:created>
  <dcterms:modified xsi:type="dcterms:W3CDTF">2018-07-28T21:54:00Z</dcterms:modified>
</cp:coreProperties>
</file>